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ind w:firstLine="420"/>
        <w:jc w:val="center"/>
        <w:rPr>
          <w:rFonts w:ascii="Times New Roman" w:hAnsi="Times New Roman" w:eastAsia="黑体"/>
          <w:sz w:val="40"/>
          <w:szCs w:val="36"/>
          <w:highlight w:val="none"/>
        </w:rPr>
      </w:pPr>
      <w:r/>
      <w:bookmarkStart w:id="58" w:name="_GoBack"/>
      <w:r/>
      <w:bookmarkEnd w:id="58"/>
      <w:r/>
      <w:r/>
    </w:p>
    <w:p>
      <w:pPr>
        <w:jc w:val="center"/>
        <w:spacing w:before="120" w:after="120" w:line="360" w:lineRule="auto"/>
        <w:rPr>
          <w:rFonts w:ascii="黑体" w:eastAsia="黑体" w:cs="黑体"/>
          <w:b/>
          <w:bCs/>
          <w:sz w:val="84"/>
          <w:szCs w:val="24"/>
          <w:highlight w:val="none"/>
        </w:rPr>
      </w:pPr>
      <w:r>
        <w:rPr>
          <w:rFonts w:hint="eastAsia" w:ascii="黑体" w:eastAsia="黑体" w:cs="黑体"/>
          <w:b/>
          <w:bCs/>
          <w:sz w:val="84"/>
          <w:szCs w:val="24"/>
          <w:highlight w:val="none"/>
        </w:rPr>
        <w:t xml:space="preserve">招 标 文 件</w:t>
      </w:r>
      <w:r/>
    </w:p>
    <w:p>
      <w:pPr>
        <w:jc w:val="center"/>
        <w:spacing w:before="120" w:after="120" w:line="360" w:lineRule="auto"/>
        <w:rPr>
          <w:rFonts w:ascii="楷体" w:eastAsia="楷体" w:cs="楷体"/>
          <w:b/>
          <w:sz w:val="36"/>
          <w:szCs w:val="36"/>
          <w:highlight w:val="none"/>
        </w:rPr>
      </w:pPr>
      <w:r>
        <w:rPr>
          <w:rFonts w:hint="eastAsia" w:ascii="楷体" w:eastAsia="楷体" w:cs="楷体"/>
          <w:b/>
          <w:sz w:val="36"/>
          <w:szCs w:val="36"/>
          <w:highlight w:val="none"/>
        </w:rPr>
        <w:t xml:space="preserve">项目名称：江苏省医疗保障信息平台统一应用系统运行维护项目（2026）</w:t>
      </w:r>
      <w:r/>
    </w:p>
    <w:p>
      <w:pPr>
        <w:jc w:val="center"/>
        <w:spacing w:before="120" w:after="120" w:line="360" w:lineRule="auto"/>
        <w:rPr>
          <w:rFonts w:ascii="楷体" w:eastAsia="楷体" w:cs="楷体"/>
          <w:b/>
          <w:sz w:val="36"/>
          <w:szCs w:val="36"/>
          <w:highlight w:val="none"/>
        </w:rPr>
      </w:pPr>
      <w:r>
        <w:rPr>
          <w:rFonts w:hint="eastAsia" w:ascii="楷体" w:eastAsia="楷体" w:cs="楷体"/>
          <w:b/>
          <w:sz w:val="36"/>
          <w:szCs w:val="36"/>
          <w:highlight w:val="none"/>
        </w:rPr>
        <w:t xml:space="preserve"> </w:t>
      </w:r>
      <w:r/>
    </w:p>
    <w:p>
      <w:pPr>
        <w:ind w:firstLine="1807"/>
        <w:spacing w:before="120" w:after="120" w:line="360" w:lineRule="auto"/>
        <w:rPr>
          <w:rFonts w:ascii="楷体" w:eastAsia="楷体" w:cs="楷体"/>
          <w:b/>
          <w:sz w:val="36"/>
          <w:szCs w:val="36"/>
          <w:highlight w:val="none"/>
        </w:rPr>
      </w:pPr>
      <w:r>
        <w:rPr>
          <w:rFonts w:hint="eastAsia" w:ascii="楷体" w:eastAsia="楷体" w:cs="楷体"/>
          <w:b/>
          <w:sz w:val="36"/>
          <w:szCs w:val="36"/>
          <w:highlight w:val="none"/>
        </w:rPr>
        <w:t xml:space="preserve">项目编号</w:t>
      </w:r>
      <w:r>
        <w:rPr>
          <w:rFonts w:hint="eastAsia" w:ascii="楷体" w:eastAsia="楷体" w:cs="楷体"/>
          <w:b/>
          <w:sz w:val="36"/>
          <w:szCs w:val="36"/>
          <w:highlight w:val="none"/>
          <w:lang w:eastAsia="zh-CN"/>
        </w:rPr>
        <w:t xml:space="preserve">：</w:t>
      </w:r>
      <w:r>
        <w:rPr>
          <w:rFonts w:hint="eastAsia" w:ascii="楷体" w:eastAsia="楷体" w:cs="楷体"/>
          <w:b/>
          <w:sz w:val="36"/>
          <w:szCs w:val="36"/>
          <w:highlight w:val="none"/>
        </w:rPr>
        <w:t xml:space="preserve">JSZC-320000-ZTZB-G2026-0042</w:t>
      </w:r>
      <w:r/>
    </w:p>
    <w:p>
      <w:pPr>
        <w:pStyle w:val="951"/>
        <w:ind w:firstLine="0"/>
        <w:spacing w:before="0" w:after="0"/>
        <w:rPr>
          <w:rFonts w:ascii="楷体" w:eastAsia="楷体" w:cs="楷体"/>
          <w:highlight w:val="none"/>
        </w:rPr>
      </w:pPr>
      <w:r>
        <w:rPr>
          <w:rFonts w:hint="eastAsia" w:ascii="楷体" w:eastAsia="楷体" w:cs="楷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476250</wp:posOffset>
                </wp:positionH>
                <wp:positionV relativeFrom="paragraph">
                  <wp:posOffset>87630</wp:posOffset>
                </wp:positionV>
                <wp:extent cx="4636135" cy="3012440"/>
                <wp:effectExtent l="0" t="0" r="0" b="0"/>
                <wp:wrapNone/>
                <wp:docPr id="3" name="图片 1026" descr="4a7a4c49674cf03eb7e28cd4ee56c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26" descr="4a7a4c49674cf03eb7e28cd4ee56c7e"/>
                        <pic:cNvPicPr>
                          <a:picLocks noChangeAspect="1"/>
                        </pic:cNvPicPr>
                        <pic:nvPr/>
                      </pic:nvPicPr>
                      <pic:blipFill>
                        <a:blip r:embed="rId15"/>
                        <a:stretch/>
                      </pic:blipFill>
                      <pic:spPr bwMode="auto">
                        <a:xfrm>
                          <a:off x="0" y="0"/>
                          <a:ext cx="4636134" cy="3012440"/>
                        </a:xfrm>
                        <a:prstGeom prst="rect">
                          <a:avLst/>
                        </a:prstGeom>
                        <a:noFill/>
                        <a:ln w="9525" cap="flat" cmpd="sng">
                          <a:noFill/>
                          <a:prstDash val="solid"/>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37.5pt;mso-position-horizontal:absolute;mso-position-vertical-relative:text;margin-top:6.9pt;mso-position-vertical:absolute;width:365.0pt;height:237.2pt;mso-wrap-distance-left:9.0pt;mso-wrap-distance-top:0.0pt;mso-wrap-distance-right:9.0pt;mso-wrap-distance-bottom:0.0pt;" stroked="f" strokeweight="0.75pt">
                <v:path textboxrect="0,0,0,0"/>
                <v:imagedata r:id="rId15" o:title=""/>
              </v:shape>
            </w:pict>
          </mc:Fallback>
        </mc:AlternateContent>
      </w:r>
      <w:r/>
    </w:p>
    <w:p>
      <w:pPr>
        <w:pStyle w:val="951"/>
        <w:ind w:firstLine="0"/>
        <w:spacing w:before="0" w:after="0"/>
        <w:rPr>
          <w:rFonts w:ascii="楷体" w:eastAsia="楷体" w:cs="楷体"/>
          <w:highlight w:val="none"/>
        </w:rPr>
      </w:pPr>
      <w:r>
        <w:rPr>
          <w:rFonts w:ascii="楷体" w:eastAsia="楷体" w:cs="楷体"/>
          <w:highlight w:val="none"/>
        </w:rPr>
      </w:r>
      <w:r/>
    </w:p>
    <w:p>
      <w:pPr>
        <w:pStyle w:val="951"/>
        <w:ind w:firstLine="0"/>
        <w:spacing w:before="0" w:after="0"/>
        <w:rPr>
          <w:rFonts w:ascii="楷体" w:eastAsia="楷体" w:cs="楷体"/>
          <w:highlight w:val="none"/>
        </w:rPr>
      </w:pPr>
      <w:r>
        <w:rPr>
          <w:rFonts w:ascii="楷体" w:eastAsia="楷体" w:cs="楷体"/>
          <w:highlight w:val="none"/>
        </w:rPr>
      </w:r>
      <w:r/>
    </w:p>
    <w:p>
      <w:pPr>
        <w:pStyle w:val="951"/>
        <w:ind w:firstLine="0"/>
        <w:spacing w:before="0" w:after="0"/>
        <w:rPr>
          <w:rFonts w:ascii="楷体" w:eastAsia="楷体" w:cs="楷体"/>
          <w:highlight w:val="none"/>
        </w:rPr>
      </w:pPr>
      <w:r>
        <w:rPr>
          <w:rFonts w:ascii="楷体" w:eastAsia="楷体" w:cs="楷体"/>
          <w:highlight w:val="none"/>
        </w:rPr>
      </w:r>
      <w:r/>
    </w:p>
    <w:p>
      <w:pPr>
        <w:pStyle w:val="951"/>
        <w:ind w:firstLine="0"/>
        <w:spacing w:before="0" w:after="0"/>
        <w:rPr>
          <w:rFonts w:ascii="楷体" w:eastAsia="楷体" w:cs="楷体"/>
          <w:highlight w:val="none"/>
        </w:rPr>
      </w:pPr>
      <w:r>
        <w:rPr>
          <w:rFonts w:ascii="楷体" w:eastAsia="楷体" w:cs="楷体"/>
          <w:highlight w:val="none"/>
        </w:rPr>
      </w:r>
      <w:r/>
    </w:p>
    <w:p>
      <w:pPr>
        <w:pStyle w:val="951"/>
        <w:ind w:firstLine="0"/>
        <w:spacing w:before="0" w:after="0"/>
        <w:rPr>
          <w:rFonts w:ascii="楷体" w:eastAsia="楷体" w:cs="楷体"/>
          <w:highlight w:val="none"/>
        </w:rPr>
      </w:pPr>
      <w:r>
        <w:rPr>
          <w:rFonts w:ascii="楷体" w:eastAsia="楷体" w:cs="楷体"/>
          <w:highlight w:val="none"/>
        </w:rPr>
      </w:r>
      <w:r/>
    </w:p>
    <w:p>
      <w:pPr>
        <w:pStyle w:val="951"/>
        <w:ind w:firstLine="0"/>
        <w:jc w:val="center"/>
        <w:spacing w:before="0" w:after="0"/>
        <w:rPr>
          <w:rFonts w:ascii="楷体" w:eastAsia="楷体" w:cs="楷体"/>
          <w:sz w:val="30"/>
          <w:szCs w:val="30"/>
          <w:highlight w:val="none"/>
        </w:rPr>
      </w:pPr>
      <w:r>
        <w:rPr>
          <w:rFonts w:ascii="楷体" w:eastAsia="楷体" w:cs="楷体"/>
          <w:sz w:val="30"/>
          <w:szCs w:val="30"/>
          <w:highlight w:val="none"/>
        </w:rPr>
      </w:r>
      <w:r/>
    </w:p>
    <w:p>
      <w:pPr>
        <w:pStyle w:val="951"/>
        <w:ind w:firstLine="0"/>
        <w:jc w:val="center"/>
        <w:spacing w:before="0" w:after="0"/>
        <w:rPr>
          <w:rFonts w:ascii="楷体" w:eastAsia="楷体" w:cs="楷体"/>
          <w:sz w:val="30"/>
          <w:szCs w:val="30"/>
          <w:highlight w:val="none"/>
        </w:rPr>
      </w:pPr>
      <w:r>
        <w:rPr>
          <w:rFonts w:ascii="楷体" w:eastAsia="楷体" w:cs="楷体"/>
          <w:sz w:val="30"/>
          <w:szCs w:val="30"/>
          <w:highlight w:val="none"/>
        </w:rPr>
      </w:r>
      <w:r/>
    </w:p>
    <w:p>
      <w:pPr>
        <w:pStyle w:val="951"/>
        <w:ind w:firstLine="0"/>
        <w:jc w:val="center"/>
        <w:spacing w:before="0" w:after="0"/>
        <w:rPr>
          <w:rFonts w:ascii="楷体" w:eastAsia="楷体" w:cs="楷体"/>
          <w:sz w:val="30"/>
          <w:szCs w:val="30"/>
          <w:highlight w:val="none"/>
        </w:rPr>
      </w:pPr>
      <w:r>
        <w:rPr>
          <w:rFonts w:ascii="楷体" w:eastAsia="楷体" w:cs="楷体"/>
          <w:sz w:val="30"/>
          <w:szCs w:val="30"/>
          <w:highlight w:val="none"/>
        </w:rPr>
      </w:r>
      <w:r/>
    </w:p>
    <w:p>
      <w:pPr>
        <w:pStyle w:val="951"/>
        <w:ind w:firstLine="0"/>
        <w:jc w:val="center"/>
        <w:spacing w:before="0" w:after="0"/>
        <w:rPr>
          <w:rFonts w:ascii="楷体" w:eastAsia="楷体" w:cs="楷体"/>
          <w:sz w:val="30"/>
          <w:szCs w:val="30"/>
          <w:highlight w:val="none"/>
        </w:rPr>
      </w:pPr>
      <w:r>
        <w:rPr>
          <w:rFonts w:ascii="楷体" w:eastAsia="楷体" w:cs="楷体"/>
          <w:sz w:val="30"/>
          <w:szCs w:val="30"/>
          <w:highlight w:val="none"/>
        </w:rPr>
      </w:r>
      <w:r/>
    </w:p>
    <w:p>
      <w:pPr>
        <w:pStyle w:val="951"/>
        <w:ind w:firstLine="0"/>
        <w:jc w:val="center"/>
        <w:spacing w:before="0" w:after="0"/>
        <w:rPr>
          <w:rFonts w:ascii="楷体" w:eastAsia="楷体" w:cs="楷体"/>
          <w:sz w:val="30"/>
          <w:szCs w:val="30"/>
          <w:highlight w:val="none"/>
        </w:rPr>
      </w:pPr>
      <w:r>
        <w:rPr>
          <w:rFonts w:hint="eastAsia" w:ascii="楷体" w:eastAsia="楷体" w:cs="楷体"/>
          <w:sz w:val="30"/>
          <w:szCs w:val="30"/>
          <w:highlight w:val="none"/>
        </w:rPr>
        <w:t xml:space="preserve">招标人：江苏省医疗保障局</w:t>
      </w:r>
      <w:r/>
    </w:p>
    <w:p>
      <w:pPr>
        <w:pStyle w:val="951"/>
        <w:ind w:firstLine="0"/>
        <w:jc w:val="center"/>
        <w:spacing w:before="0" w:after="0"/>
        <w:rPr>
          <w:rFonts w:ascii="楷体" w:eastAsia="楷体" w:cs="楷体"/>
          <w:sz w:val="30"/>
          <w:szCs w:val="30"/>
          <w:highlight w:val="none"/>
        </w:rPr>
      </w:pPr>
      <w:r>
        <w:rPr>
          <w:rFonts w:hint="eastAsia" w:ascii="楷体" w:eastAsia="楷体" w:cs="楷体"/>
          <w:sz w:val="30"/>
          <w:szCs w:val="30"/>
          <w:highlight w:val="none"/>
        </w:rPr>
        <w:t xml:space="preserve">招标代理机构：中通服咨询设计研究院有限公司</w:t>
      </w:r>
      <w:r/>
    </w:p>
    <w:p>
      <w:pPr>
        <w:jc w:val="center"/>
        <w:spacing w:line="360" w:lineRule="auto"/>
        <w:rPr>
          <w:rFonts w:ascii="楷体" w:eastAsia="楷体" w:cs="楷体"/>
          <w:sz w:val="28"/>
          <w:szCs w:val="28"/>
          <w:highlight w:val="none"/>
        </w:rPr>
      </w:pPr>
      <w:r>
        <w:rPr>
          <w:rFonts w:hint="eastAsia" w:ascii="楷体" w:eastAsia="楷体" w:cs="楷体"/>
          <w:sz w:val="30"/>
          <w:szCs w:val="30"/>
          <w:highlight w:val="none"/>
        </w:rPr>
        <w:t xml:space="preserve">2026年 7月</w:t>
      </w:r>
      <w:r/>
    </w:p>
    <w:p>
      <w:pPr>
        <w:jc w:val="center"/>
        <w:widowControl/>
        <w:rPr>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highlight w:val="none"/>
        </w:rPr>
        <mc:AlternateContent>
          <mc:Choice Requires="wpg">
            <w:drawing>
              <wp:inline xmlns:wp="http://schemas.openxmlformats.org/drawingml/2006/wordprocessingDrawing" distT="0" distB="0" distL="0" distR="0">
                <wp:extent cx="1706880" cy="613410"/>
                <wp:effectExtent l="0" t="0" r="26" b="23"/>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1706880" cy="614044"/>
                        </a:xfrm>
                        <a:prstGeom prst="rect">
                          <a:avLst/>
                        </a:prstGeom>
                        <a:noFill/>
                        <a:ln w="9525" cap="flat" cmpd="sng">
                          <a:noFill/>
                          <a:prstDash val="solid"/>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4.4pt;height:48.3pt;mso-wrap-distance-left:0.0pt;mso-wrap-distance-top:0.0pt;mso-wrap-distance-right:0.0pt;mso-wrap-distance-bottom:0.0pt;" stroked="f" strokeweight="0.75pt">
                <v:path textboxrect="0,0,0,0"/>
                <v:imagedata r:id="rId16" o:title=""/>
              </v:shape>
            </w:pict>
          </mc:Fallback>
        </mc:AlternateContent>
      </w:r>
      <w:r/>
    </w:p>
    <w:p>
      <w:pPr>
        <w:jc w:val="center"/>
        <w:spacing w:line="360" w:lineRule="auto"/>
        <w:widowControl/>
        <w:rPr>
          <w:rFonts w:ascii="黑体" w:eastAsia="黑体"/>
          <w:sz w:val="36"/>
          <w:szCs w:val="36"/>
          <w:highlight w:val="none"/>
        </w:rPr>
      </w:pPr>
      <w:r>
        <w:rPr>
          <w:rFonts w:hint="eastAsia" w:ascii="黑体" w:eastAsia="黑体"/>
          <w:sz w:val="36"/>
          <w:szCs w:val="36"/>
          <w:highlight w:val="none"/>
        </w:rPr>
        <w:t xml:space="preserve">目  录</w:t>
      </w:r>
      <w:r/>
    </w:p>
    <w:sdt>
      <w:sdtPr>
        <w15:appearance w15:val="boundingBox"/>
        <w:id w:val="340240639"/>
        <w:docPartObj>
          <w:docPartGallery w:val="Table of Contents"/>
          <w:docPartUnique w:val="true"/>
        </w:docPartObj>
        <w:rPr>
          <w:rFonts w:ascii="Calibri Light" w:hAnsi="Calibri Light" w:eastAsia="宋体"/>
          <w:sz w:val="32"/>
          <w:szCs w:val="32"/>
          <w:highlight w:val="none"/>
          <w:lang w:val="zh-CN"/>
        </w:rPr>
      </w:sdtPr>
      <w:sdtContent>
        <w:p>
          <w:pPr>
            <w:pStyle w:val="935"/>
            <w:rPr>
              <w:highlight w:val="none"/>
            </w:rPr>
          </w:pPr>
          <w:r>
            <w:rPr>
              <w:highlight w:val="none"/>
            </w:rPr>
            <w:fldChar w:fldCharType="begin"/>
          </w:r>
          <w:r>
            <w:rPr>
              <w:highlight w:val="none"/>
            </w:rPr>
            <w:instrText xml:space="preserve"> TOC \o "1-3" \h \z \u </w:instrText>
          </w:r>
          <w:r>
            <w:rPr>
              <w:highlight w:val="none"/>
            </w:rPr>
            <w:fldChar w:fldCharType="separate"/>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"_Toc24580" </w:instrText>
          </w:r>
          <w:r>
            <w:rPr>
              <w:highlight w:val="none"/>
            </w:rPr>
            <w:fldChar w:fldCharType="separate"/>
          </w:r>
          <w:r>
            <w:rPr>
              <w:rFonts w:ascii="黑体" w:cs="黑体"/>
              <w:szCs w:val="36"/>
              <w:highlight w:val="none"/>
              <w:lang w:val="zh-TW" w:eastAsia="zh-TW"/>
            </w:rPr>
            <w:t xml:space="preserve">第一章  </w:t>
          </w:r>
          <w:r>
            <w:rPr>
              <w:rFonts w:hint="eastAsia" w:ascii="黑体" w:cs="黑体"/>
              <w:szCs w:val="36"/>
              <w:highlight w:val="none"/>
              <w:lang w:val="zh-TW"/>
            </w:rPr>
            <w:t xml:space="preserve">招标</w:t>
          </w:r>
          <w:r>
            <w:rPr>
              <w:rFonts w:ascii="黑体" w:cs="黑体"/>
              <w:szCs w:val="36"/>
              <w:highlight w:val="none"/>
              <w:lang w:val="zh-TW" w:eastAsia="zh-TW"/>
            </w:rPr>
            <w:t xml:space="preserve">公告</w:t>
          </w:r>
          <w:r>
            <w:rPr>
              <w:highlight w:val="none"/>
            </w:rPr>
            <w:tab/>
          </w:r>
          <w:r>
            <w:rPr>
              <w:highlight w:val="none"/>
            </w:rPr>
            <w:fldChar w:fldCharType="begin"/>
          </w:r>
          <w:r>
            <w:rPr>
              <w:highlight w:val="none"/>
            </w:rPr>
            <w:instrText xml:space="preserve"> PAGEREF _Toc24580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"_Toc10216" </w:instrText>
          </w:r>
          <w:r>
            <w:rPr>
              <w:highlight w:val="none"/>
            </w:rPr>
            <w:fldChar w:fldCharType="separate"/>
          </w:r>
          <w:r>
            <w:rPr>
              <w:rFonts w:ascii="黑体" w:cs="黑体"/>
              <w:szCs w:val="36"/>
              <w:highlight w:val="none"/>
              <w:lang w:val="zh-TW" w:eastAsia="zh-TW"/>
            </w:rPr>
            <w:t xml:space="preserve">第二章  </w:t>
          </w:r>
          <w:r>
            <w:rPr>
              <w:rFonts w:hint="eastAsia" w:ascii="黑体" w:cs="黑体"/>
              <w:szCs w:val="36"/>
              <w:highlight w:val="none"/>
              <w:lang w:val="zh-TW"/>
            </w:rPr>
            <w:t xml:space="preserve">投标人</w:t>
          </w:r>
          <w:r>
            <w:rPr>
              <w:rFonts w:ascii="黑体" w:cs="黑体"/>
              <w:szCs w:val="36"/>
              <w:highlight w:val="none"/>
              <w:lang w:val="zh-TW" w:eastAsia="zh-TW"/>
            </w:rPr>
            <w:t xml:space="preserve">须知</w:t>
          </w:r>
          <w:r>
            <w:rPr>
              <w:highlight w:val="none"/>
            </w:rPr>
            <w:tab/>
          </w:r>
          <w:r>
            <w:rPr>
              <w:highlight w:val="none"/>
            </w:rPr>
            <w:fldChar w:fldCharType="begin"/>
          </w:r>
          <w:r>
            <w:rPr>
              <w:highlight w:val="none"/>
            </w:rPr>
            <w:instrText xml:space="preserve"> PAGEREF _Toc10216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"_Toc28020" </w:instrText>
          </w:r>
          <w:r>
            <w:rPr>
              <w:highlight w:val="none"/>
            </w:rPr>
            <w:fldChar w:fldCharType="separate"/>
          </w:r>
          <w:r>
            <w:rPr>
              <w:rFonts w:ascii="黑体" w:cs="黑体"/>
              <w:szCs w:val="36"/>
              <w:highlight w:val="none"/>
              <w:lang w:val="zh-TW" w:eastAsia="zh-TW"/>
            </w:rPr>
            <w:t xml:space="preserve">第</w:t>
          </w:r>
          <w:r>
            <w:rPr>
              <w:rFonts w:hint="eastAsia" w:ascii="黑体" w:cs="黑体"/>
              <w:szCs w:val="36"/>
              <w:highlight w:val="none"/>
              <w:lang w:val="zh-TW"/>
            </w:rPr>
            <w:t xml:space="preserve">三</w:t>
          </w:r>
          <w:r>
            <w:rPr>
              <w:rFonts w:ascii="黑体" w:cs="黑体"/>
              <w:szCs w:val="36"/>
              <w:highlight w:val="none"/>
              <w:lang w:val="zh-TW" w:eastAsia="zh-TW"/>
            </w:rPr>
            <w:t xml:space="preserve">章  </w:t>
          </w:r>
          <w:r>
            <w:rPr>
              <w:rFonts w:hint="eastAsia" w:ascii="黑体" w:cs="黑体"/>
              <w:szCs w:val="36"/>
              <w:highlight w:val="none"/>
              <w:lang w:val="zh-TW" w:eastAsia="zh-TW"/>
            </w:rPr>
            <w:t xml:space="preserve">合同条款及格式</w:t>
          </w:r>
          <w:r>
            <w:rPr>
              <w:highlight w:val="none"/>
            </w:rPr>
            <w:tab/>
          </w:r>
          <w:r>
            <w:rPr>
              <w:highlight w:val="none"/>
            </w:rPr>
            <w:fldChar w:fldCharType="begin"/>
          </w:r>
          <w:r>
            <w:rPr>
              <w:highlight w:val="none"/>
            </w:rPr>
            <w:instrText xml:space="preserve"> PAGEREF _Toc28020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"_Toc14170" </w:instrText>
          </w:r>
          <w:r>
            <w:rPr>
              <w:highlight w:val="none"/>
            </w:rPr>
            <w:fldChar w:fldCharType="separate"/>
          </w:r>
          <w:r>
            <w:rPr>
              <w:rFonts w:hint="eastAsia" w:ascii="黑体" w:cs="黑体"/>
              <w:szCs w:val="36"/>
              <w:highlight w:val="none"/>
              <w:lang w:val="zh-TW" w:eastAsia="zh-TW"/>
            </w:rPr>
            <w:t xml:space="preserve">第四章 </w:t>
          </w:r>
          <w:r>
            <w:rPr>
              <w:rFonts w:hint="eastAsia" w:ascii="黑体" w:cs="黑体"/>
              <w:szCs w:val="36"/>
              <w:highlight w:val="none"/>
            </w:rPr>
            <w:t xml:space="preserve"> </w:t>
          </w:r>
          <w:r>
            <w:rPr>
              <w:rFonts w:hint="eastAsia" w:ascii="黑体" w:cs="黑体"/>
              <w:szCs w:val="36"/>
              <w:highlight w:val="none"/>
              <w:lang w:val="zh-TW" w:eastAsia="zh-TW"/>
            </w:rPr>
            <w:t xml:space="preserve">项目需求</w:t>
          </w:r>
          <w:r>
            <w:rPr>
              <w:highlight w:val="none"/>
            </w:rPr>
            <w:tab/>
          </w:r>
          <w:r>
            <w:rPr>
              <w:highlight w:val="none"/>
            </w:rPr>
            <w:fldChar w:fldCharType="begin"/>
          </w:r>
          <w:r>
            <w:rPr>
              <w:highlight w:val="none"/>
            </w:rPr>
            <w:instrText xml:space="preserve"> PAGEREF _Toc14170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"_Toc29558" </w:instrText>
          </w:r>
          <w:r>
            <w:rPr>
              <w:highlight w:val="none"/>
            </w:rPr>
            <w:fldChar w:fldCharType="separate"/>
          </w:r>
          <w:r>
            <w:rPr>
              <w:rFonts w:ascii="黑体" w:cs="黑体"/>
              <w:szCs w:val="36"/>
              <w:highlight w:val="none"/>
              <w:lang w:val="zh-TW" w:eastAsia="zh-TW"/>
            </w:rPr>
            <w:t xml:space="preserve">第</w:t>
          </w:r>
          <w:r>
            <w:rPr>
              <w:rFonts w:hint="eastAsia" w:ascii="黑体" w:cs="黑体"/>
              <w:szCs w:val="36"/>
              <w:highlight w:val="none"/>
              <w:lang w:val="zh-TW" w:eastAsia="zh-TW"/>
            </w:rPr>
            <w:t xml:space="preserve">五</w:t>
          </w:r>
          <w:r>
            <w:rPr>
              <w:rFonts w:ascii="黑体" w:cs="黑体"/>
              <w:szCs w:val="36"/>
              <w:highlight w:val="none"/>
              <w:lang w:val="zh-TW" w:eastAsia="zh-TW"/>
            </w:rPr>
            <w:t xml:space="preserve">章  </w:t>
          </w:r>
          <w:r>
            <w:rPr>
              <w:rFonts w:hint="eastAsia" w:ascii="黑体" w:cs="黑体"/>
              <w:szCs w:val="36"/>
              <w:highlight w:val="none"/>
              <w:lang w:val="zh-TW" w:eastAsia="zh-TW"/>
            </w:rPr>
            <w:t xml:space="preserve">评标方法与评标标准</w:t>
          </w:r>
          <w:r>
            <w:rPr>
              <w:highlight w:val="none"/>
            </w:rPr>
            <w:tab/>
          </w:r>
          <w:r>
            <w:rPr>
              <w:rFonts w:hint="eastAsia"/>
              <w:highlight w:val="none"/>
            </w:rPr>
            <w:t xml:space="preserve">5</w:t>
          </w:r>
          <w:r>
            <w:rPr>
              <w:rFonts w:hint="eastAsia"/>
              <w:highlight w:val="none"/>
            </w:rPr>
            <w:fldChar w:fldCharType="end"/>
          </w:r>
          <w:r>
            <w:rPr>
              <w:rFonts w:hint="eastAsia"/>
              <w:highlight w:val="none"/>
            </w:rPr>
            <w:t xml:space="preserve">5</w:t>
          </w:r>
          <w:r/>
        </w:p>
        <w:p>
          <w:pPr>
            <w:pStyle w:val="935"/>
            <w:tabs>
              <w:tab w:val="clear" w:pos="8777" w:leader="none"/>
              <w:tab w:val="right" w:pos="8787" w:leader="dot"/>
            </w:tabs>
            <w:rPr>
              <w:highlight w:val="none"/>
            </w:rPr>
          </w:pPr>
          <w:r>
            <w:rPr>
              <w:highlight w:val="none"/>
            </w:rPr>
            <w:fldChar w:fldCharType="begin"/>
          </w:r>
          <w:r>
            <w:rPr>
              <w:highlight w:val="none"/>
            </w:rPr>
            <w:instrText xml:space="preserve"> HYPERLINK \l "_Toc30059" </w:instrText>
          </w:r>
          <w:r>
            <w:rPr>
              <w:highlight w:val="none"/>
            </w:rPr>
            <w:fldChar w:fldCharType="separate"/>
          </w:r>
          <w:r>
            <w:rPr>
              <w:rFonts w:ascii="黑体" w:cs="黑体"/>
              <w:szCs w:val="36"/>
              <w:highlight w:val="none"/>
              <w:lang w:val="zh-TW" w:eastAsia="zh-TW"/>
            </w:rPr>
            <w:t xml:space="preserve">第</w:t>
          </w:r>
          <w:r>
            <w:rPr>
              <w:rFonts w:hint="eastAsia" w:ascii="黑体" w:cs="黑体"/>
              <w:szCs w:val="36"/>
              <w:highlight w:val="none"/>
              <w:lang w:val="zh-TW"/>
            </w:rPr>
            <w:t xml:space="preserve">六</w:t>
          </w:r>
          <w:r>
            <w:rPr>
              <w:rFonts w:ascii="黑体" w:cs="黑体"/>
              <w:szCs w:val="36"/>
              <w:highlight w:val="none"/>
              <w:lang w:val="zh-TW" w:eastAsia="zh-TW"/>
            </w:rPr>
            <w:t xml:space="preserve">章  </w:t>
          </w:r>
          <w:r>
            <w:rPr>
              <w:rFonts w:hint="eastAsia" w:ascii="黑体" w:cs="黑体"/>
              <w:szCs w:val="36"/>
              <w:highlight w:val="none"/>
              <w:lang w:val="zh-TW" w:eastAsia="zh-TW"/>
            </w:rPr>
            <w:t xml:space="preserve">投标文件格式</w:t>
          </w:r>
          <w:r>
            <w:rPr>
              <w:highlight w:val="none"/>
            </w:rPr>
            <w:tab/>
          </w:r>
          <w:r>
            <w:rPr>
              <w:highlight w:val="none"/>
            </w:rPr>
            <w:fldChar w:fldCharType="begin"/>
          </w:r>
          <w:r>
            <w:rPr>
              <w:highlight w:val="none"/>
            </w:rPr>
            <w:instrText xml:space="preserve"> PAGEREF _Toc30059 \h </w:instrText>
          </w:r>
          <w:r>
            <w:rPr>
              <w:highlight w:val="none"/>
            </w:rPr>
            <w:fldChar w:fldCharType="separate"/>
          </w:r>
          <w:r>
            <w:rPr>
              <w:highlight w:val="none"/>
            </w:rPr>
            <w:t xml:space="preserve">60</w:t>
          </w:r>
          <w:r>
            <w:rPr>
              <w:highlight w:val="none"/>
            </w:rPr>
            <w:fldChar w:fldCharType="end"/>
          </w:r>
          <w:r>
            <w:rPr>
              <w:highlight w:val="none"/>
            </w:rPr>
            <w:fldChar w:fldCharType="end"/>
          </w:r>
          <w:r/>
        </w:p>
        <w:p>
          <w:pPr>
            <w:pStyle w:val="929"/>
            <w:tabs>
              <w:tab w:val="right" w:pos="8787" w:leader="dot"/>
            </w:tabs>
            <w:rPr>
              <w:highlight w:val="none"/>
            </w:rPr>
          </w:pPr>
          <w:r>
            <w:rPr>
              <w:highlight w:val="none"/>
            </w:rPr>
          </w:r>
          <w:r/>
        </w:p>
        <w:p>
          <w:pPr>
            <w:pStyle w:val="935"/>
            <w:rPr>
              <w:highlight w:val="none"/>
            </w:rPr>
          </w:pPr>
          <w:r>
            <w:rPr>
              <w:highlight w:val="none"/>
            </w:rPr>
            <w:fldChar w:fldCharType="end"/>
          </w:r>
          <w:r/>
        </w:p>
      </w:sdtContent>
    </w:sdt>
    <w:p>
      <w:pPr>
        <w:jc w:val="left"/>
        <w:widowControl/>
        <w:rPr>
          <w:highlight w:val="none"/>
        </w:rPr>
        <w:sectPr>
          <w:headerReference w:type="default" r:id="rId9"/>
          <w:footerReference w:type="default" r:id="rId11"/>
          <w:footnotePr/>
          <w:endnotePr/>
          <w:type w:val="nextPage"/>
          <w:pgSz w:w="11906" w:h="16838" w:orient="portrait"/>
          <w:pgMar w:top="1418" w:right="1418" w:bottom="1418" w:left="1701" w:header="851" w:footer="992" w:gutter="0"/>
          <w:pgNumType w:start="1"/>
          <w:cols w:num="1" w:sep="0" w:space="720" w:equalWidth="1"/>
          <w:docGrid w:linePitch="360"/>
        </w:sectPr>
      </w:pPr>
      <w:r>
        <w:rPr>
          <w:highlight w:val="none"/>
        </w:rPr>
      </w:r>
      <w:r/>
    </w:p>
    <w:p>
      <w:pPr>
        <w:jc w:val="center"/>
        <w:keepLines/>
        <w:keepNext/>
        <w:spacing w:before="240" w:after="240" w:line="360" w:lineRule="auto"/>
        <w:rPr>
          <w:rFonts w:ascii="黑体" w:eastAsia="黑体" w:cs="黑体"/>
          <w:sz w:val="36"/>
          <w:szCs w:val="36"/>
          <w:highlight w:val="none"/>
          <w:lang w:val="zh-TW" w:eastAsia="zh-TW"/>
        </w:rPr>
        <w:outlineLvl w:val="0"/>
      </w:pPr>
      <w:r/>
      <w:bookmarkStart w:id="0" w:name="_Toc415494523"/>
      <w:r/>
      <w:bookmarkStart w:id="1" w:name="_Toc448069940"/>
      <w:r/>
      <w:bookmarkStart w:id="2" w:name="_Toc"/>
      <w:r/>
      <w:bookmarkStart w:id="3" w:name="_Toc24580"/>
      <w:r>
        <w:rPr>
          <w:rFonts w:ascii="黑体" w:eastAsia="黑体" w:cs="黑体"/>
          <w:sz w:val="36"/>
          <w:szCs w:val="36"/>
          <w:highlight w:val="none"/>
          <w:lang w:val="zh-TW" w:eastAsia="zh-TW"/>
        </w:rPr>
        <w:t xml:space="preserve">第一章  </w:t>
      </w:r>
      <w:r>
        <w:rPr>
          <w:rFonts w:hint="eastAsia" w:ascii="黑体" w:eastAsia="黑体" w:cs="黑体"/>
          <w:sz w:val="36"/>
          <w:szCs w:val="36"/>
          <w:highlight w:val="none"/>
          <w:lang w:val="zh-TW"/>
        </w:rPr>
        <w:t xml:space="preserve">招标</w:t>
      </w:r>
      <w:r>
        <w:rPr>
          <w:rFonts w:ascii="黑体" w:eastAsia="黑体" w:cs="黑体"/>
          <w:sz w:val="36"/>
          <w:szCs w:val="36"/>
          <w:highlight w:val="none"/>
          <w:lang w:val="zh-TW" w:eastAsia="zh-TW"/>
        </w:rPr>
        <w:t xml:space="preserve">公告</w:t>
      </w:r>
      <w:bookmarkEnd w:id="0"/>
      <w:r/>
      <w:bookmarkEnd w:id="1"/>
      <w:r/>
      <w:bookmarkEnd w:id="2"/>
      <w:r/>
      <w:bookmarkEnd w:id="3"/>
      <w:r/>
      <w:r/>
    </w:p>
    <w:p>
      <w:pPr>
        <w:ind w:firstLine="482"/>
        <w:spacing w:line="360" w:lineRule="auto"/>
        <w:rPr>
          <w:rFonts w:ascii="Times New Roman" w:hAnsi="Times New Roman" w:cs="Times New Roman"/>
          <w:b/>
          <w:sz w:val="24"/>
          <w:szCs w:val="24"/>
          <w:highlight w:val="none"/>
        </w:rPr>
      </w:pPr>
      <w:r/>
      <w:bookmarkStart w:id="4" w:name="_Toc1"/>
      <w:r/>
      <w:bookmarkStart w:id="5" w:name="_Toc448069941"/>
      <w:r/>
      <w:bookmarkStart w:id="6" w:name="_Toc415494524"/>
      <w:r>
        <w:rPr>
          <w:rFonts w:hint="eastAsia" w:ascii="Times New Roman" w:hAnsi="Times New Roman" w:cs="Times New Roman"/>
          <w:b/>
          <w:sz w:val="24"/>
          <w:szCs w:val="24"/>
          <w:highlight w:val="none"/>
          <w:u w:val="single"/>
        </w:rPr>
        <w:t xml:space="preserve">江苏省医疗保障信息平台统一应用系统运行维护项目（2026）</w:t>
      </w:r>
      <w:r>
        <w:rPr>
          <w:rFonts w:hint="eastAsia" w:ascii="Times New Roman" w:hAnsi="Times New Roman" w:cs="Times New Roman"/>
          <w:sz w:val="24"/>
          <w:szCs w:val="24"/>
          <w:highlight w:val="none"/>
        </w:rPr>
        <w:t xml:space="preserve">的潜在投标人应在</w:t>
      </w:r>
      <w:r>
        <w:rPr>
          <w:rFonts w:hint="eastAsia" w:ascii="Times New Roman" w:hAnsi="Times New Roman" w:cs="Times New Roman"/>
          <w:b/>
          <w:sz w:val="24"/>
          <w:szCs w:val="24"/>
          <w:highlight w:val="none"/>
          <w:u w:val="single"/>
        </w:rPr>
        <w:t xml:space="preserve">江苏省政府采购网（苏采云平台）</w:t>
      </w:r>
      <w:r>
        <w:rPr>
          <w:rFonts w:hint="eastAsia" w:ascii="Times New Roman" w:hAnsi="Times New Roman" w:cs="Times New Roman"/>
          <w:sz w:val="24"/>
          <w:szCs w:val="24"/>
          <w:highlight w:val="none"/>
        </w:rPr>
        <w:t xml:space="preserve">获取招标文件，并于</w:t>
      </w:r>
      <w:r>
        <w:rPr>
          <w:rFonts w:hint="eastAsia" w:ascii="Times New Roman" w:hAnsi="Times New Roman" w:cs="Times New Roman"/>
          <w:b/>
          <w:sz w:val="24"/>
          <w:szCs w:val="24"/>
          <w:highlight w:val="none"/>
        </w:rPr>
        <w:t xml:space="preserve">2026年</w:t>
      </w:r>
      <w:r>
        <w:rPr>
          <w:rFonts w:hint="eastAsia" w:ascii="Times New Roman" w:hAnsi="Times New Roman" w:cs="Times New Roman"/>
          <w:b/>
          <w:sz w:val="24"/>
          <w:szCs w:val="24"/>
          <w:highlight w:val="none"/>
          <w:lang w:val="en-US" w:eastAsia="zh-CN"/>
        </w:rPr>
        <w:t xml:space="preserve">8</w:t>
      </w:r>
      <w:r>
        <w:rPr>
          <w:rFonts w:hint="eastAsia" w:ascii="Times New Roman" w:hAnsi="Times New Roman" w:cs="Times New Roman"/>
          <w:b/>
          <w:sz w:val="24"/>
          <w:szCs w:val="24"/>
          <w:highlight w:val="none"/>
        </w:rPr>
        <w:t xml:space="preserve">月</w:t>
      </w:r>
      <w:r>
        <w:rPr>
          <w:rFonts w:hint="eastAsia" w:ascii="Times New Roman" w:hAnsi="Times New Roman" w:cs="Times New Roman"/>
          <w:b/>
          <w:sz w:val="24"/>
          <w:szCs w:val="24"/>
          <w:highlight w:val="none"/>
          <w:lang w:val="en-US" w:eastAsia="zh-CN"/>
        </w:rPr>
        <w:t xml:space="preserve">7</w:t>
      </w:r>
      <w:r>
        <w:rPr>
          <w:rFonts w:hint="eastAsia" w:ascii="Times New Roman" w:hAnsi="Times New Roman" w:cs="Times New Roman"/>
          <w:b/>
          <w:sz w:val="24"/>
          <w:szCs w:val="24"/>
          <w:highlight w:val="none"/>
        </w:rPr>
        <w:t xml:space="preserve">日</w:t>
      </w:r>
      <w:r>
        <w:rPr>
          <w:rFonts w:hint="eastAsia" w:ascii="Times New Roman" w:hAnsi="Times New Roman" w:cs="Times New Roman"/>
          <w:b/>
          <w:sz w:val="24"/>
          <w:szCs w:val="24"/>
          <w:highlight w:val="none"/>
          <w:lang w:val="en-US" w:eastAsia="zh-CN"/>
        </w:rPr>
        <w:t xml:space="preserve">14</w:t>
      </w:r>
      <w:r>
        <w:rPr>
          <w:rFonts w:hint="eastAsia" w:ascii="Times New Roman" w:hAnsi="Times New Roman" w:cs="Times New Roman"/>
          <w:b/>
          <w:sz w:val="24"/>
          <w:szCs w:val="24"/>
          <w:highlight w:val="none"/>
        </w:rPr>
        <w:t xml:space="preserve">点3</w:t>
      </w:r>
      <w:r>
        <w:rPr>
          <w:rFonts w:ascii="Times New Roman" w:hAnsi="Times New Roman" w:cs="Times New Roman"/>
          <w:b/>
          <w:sz w:val="24"/>
          <w:szCs w:val="24"/>
          <w:highlight w:val="none"/>
        </w:rPr>
        <w:t xml:space="preserve">0</w:t>
      </w:r>
      <w:r>
        <w:rPr>
          <w:rFonts w:hint="eastAsia" w:ascii="Times New Roman" w:hAnsi="Times New Roman" w:cs="Times New Roman"/>
          <w:b/>
          <w:sz w:val="24"/>
          <w:szCs w:val="24"/>
          <w:highlight w:val="none"/>
        </w:rPr>
        <w:t xml:space="preserve">分</w:t>
      </w:r>
      <w:r>
        <w:rPr>
          <w:rFonts w:hint="eastAsia" w:ascii="Times New Roman" w:hAnsi="Times New Roman" w:cs="Times New Roman"/>
          <w:sz w:val="24"/>
          <w:szCs w:val="24"/>
          <w:highlight w:val="none"/>
        </w:rPr>
        <w:t xml:space="preserve">（北京时间）前递交投标文件。</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一、项目基本情况</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1.1项目编号</w:t>
      </w:r>
      <w:r>
        <w:rPr>
          <w:rFonts w:hint="eastAsia" w:ascii="Times New Roman" w:hAnsi="Times New Roman" w:cs="Times New Roman"/>
          <w:sz w:val="24"/>
          <w:szCs w:val="24"/>
          <w:highlight w:val="none"/>
        </w:rPr>
        <w:t xml:space="preserve">：JSZC-320000-ZTZB-G2026-0042 </w:t>
      </w:r>
      <w:r>
        <w:rPr>
          <w:rFonts w:hint="eastAsia"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1.2项目名称：江苏省医疗保障信息平台统一应用系统运行维护项目（2026）；</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1.3预算金额：3417.6万元</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1.4最高限价：3417.6万元（分包一：2784万元，分包二：633.6万元）。</w:t>
      </w:r>
      <w:r/>
    </w:p>
    <w:p>
      <w:pPr>
        <w:ind w:firstLine="480"/>
        <w:spacing w:line="360" w:lineRule="auto"/>
        <w:rPr>
          <w:rFonts w:ascii="宋体" w:cs="仿宋"/>
          <w:sz w:val="24"/>
          <w:szCs w:val="24"/>
          <w:highlight w:val="none"/>
        </w:rPr>
      </w:pPr>
      <w:r>
        <w:rPr>
          <w:rFonts w:hint="eastAsia" w:ascii="Times New Roman" w:hAnsi="Times New Roman" w:cs="Times New Roman"/>
          <w:sz w:val="24"/>
          <w:szCs w:val="24"/>
          <w:highlight w:val="none"/>
        </w:rPr>
        <w:t xml:space="preserve">1.5</w:t>
      </w:r>
      <w:r>
        <w:rPr>
          <w:rFonts w:hint="eastAsia" w:ascii="宋体" w:cs="仿宋"/>
          <w:sz w:val="24"/>
          <w:szCs w:val="24"/>
          <w:highlight w:val="none"/>
        </w:rPr>
        <w:t xml:space="preserve">采购需求：建立权责清晰、规范标准的江苏省医疗保障信息平台一体化运维管理体系，本项目共有2个标包，其中分包一为核心业务系统运维服务，分包二为公共服务子系统运维服务，具体详见招标文件“第四章 项目需求”。</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1.6中标原则：本项目分为2个标包，同一投标人可以同时参加2个标包，但只能中标其中1个标包（即“兼投不兼中”）；评审时按照标包号正顺序依次评审，已被推荐为第一中标候选人的供应商，不再推荐为其他标包的中标候选人。</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1.7合同履行期限：</w:t>
      </w:r>
      <w:r>
        <w:rPr>
          <w:rFonts w:ascii="Times New Roman" w:hAnsi="Times New Roman" w:cs="Times New Roman"/>
          <w:sz w:val="24"/>
          <w:szCs w:val="24"/>
          <w:highlight w:val="none"/>
        </w:rPr>
        <w:t xml:space="preserve">服务期</w:t>
      </w:r>
      <w:r>
        <w:rPr>
          <w:rFonts w:hint="eastAsia" w:ascii="Times New Roman" w:hAnsi="Times New Roman" w:cs="Times New Roman"/>
          <w:sz w:val="24"/>
          <w:szCs w:val="24"/>
          <w:highlight w:val="none"/>
        </w:rPr>
        <w:t xml:space="preserve">自合同签订之日起2年。</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1.8本项目采购标的所属行业为：软件和信息技术服务业。</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二、申请人的资格要求：</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2.1.满足《中华人民共和国政府采购法》第二十二条规定：</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（1）具有独立承担民事责任的能力（提供法人或者其他组织的营业执照等证明文件，如投标人为自然人的，提供其身份证明）；</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供应商须具有良好的商业信誉和健全的财务会计制度（提供由第三方专业机构出具的2025年度财务审计报告（财务审计报告至少包含资产负债表、利润表、现金流量表、第三方专业机构盖章和注册会计师签字页加盖供应商公章）或投标截止时间前近半年内任一月的财务报表（至少包括资产负债表和利润表）加盖供应商公章或投标截止时间前半年内银行出具的企业资信证明加盖供应商公章，法人或者其他组织成立未满一年的无需提供）；</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供应商需提供依法缴纳税收和社会保障资金的相关材料（在提交投标文件截止时间前一年内（至少一个月）依法缴纳税收和社会保障资金的有效证明材料（投标人依法享受缓缴、免缴税收或社会保障资金的，须提供有效证明材料））；</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（4）供应商具有履行合同所必需的设备和专业技术能力的书面声明；</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（5）供应商参加政府采购活动前3年内在经营活动中没有重大违法记录的书面声明；</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（6）供应商须提供在“信用中国”（www.creditchina.gov.cn）或“诚信江苏”（www.jscredit.gov.cn）或中国政府采购网（www.ccgp.gov.cn）查询的、自本招标公告发布之日至投标截止前的信用记录的截图（</w:t>
      </w:r>
      <w:r>
        <w:rPr>
          <w:rFonts w:hint="eastAsia" w:ascii="Times New Roman" w:hAnsi="Times New Roman" w:cs="Times New Roman"/>
          <w:sz w:val="24"/>
          <w:szCs w:val="24"/>
          <w:highlight w:val="none"/>
        </w:rPr>
        <w:t xml:space="preserve">提供不存在被列入失信被执行人、重大税收违法失信主体名单、政府采购严重失信行为记录名单的截图，</w:t>
      </w:r>
      <w:r>
        <w:rPr>
          <w:rFonts w:hint="eastAsia" w:ascii="Times New Roman" w:hAnsi="Times New Roman" w:cs="Times New Roman"/>
          <w:sz w:val="24"/>
          <w:szCs w:val="24"/>
          <w:highlight w:val="none"/>
        </w:rPr>
        <w:t xml:space="preserve">截图须加盖公章）。</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2.2.落实政府采购政策需满足的资格要求：</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本项目按照以下第(4)种方式落实政府采购促进中小企业发展的要求：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（1）本项目整体专门面向中小企业采购货物。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（2）本项目整体专门面向小微企业采购货物。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（3）本项目通过以下第（/） 种方式预留部分采购份额采购中小企业货物：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①要求供应商以联合体形式参加，企业合同金额应当达到的比例为</w:t>
      </w:r>
      <w:r>
        <w:rPr>
          <w:rFonts w:hint="eastAsia" w:ascii="Times New Roman" w:hAnsi="Times New Roman" w:cs="Times New Roman"/>
          <w:sz w:val="24"/>
          <w:szCs w:val="24"/>
          <w:highlight w:val="none"/>
          <w:u w:val="single"/>
        </w:rPr>
        <w:t xml:space="preserve"> /</w:t>
      </w:r>
      <w:r>
        <w:rPr>
          <w:rFonts w:ascii="Times New Roman" w:hAnsi="Times New Roman" w:cs="Times New Roman"/>
          <w:sz w:val="24"/>
          <w:szCs w:val="24"/>
          <w:highlight w:val="none"/>
          <w:u w:val="single"/>
        </w:rPr>
        <w:t xml:space="preserve"> </w:t>
      </w:r>
      <w:r>
        <w:rPr>
          <w:rFonts w:hint="eastAsia" w:ascii="Times New Roman" w:hAnsi="Times New Roman" w:cs="Times New Roman"/>
          <w:sz w:val="24"/>
          <w:szCs w:val="24"/>
          <w:highlight w:val="none"/>
        </w:rPr>
        <w:t xml:space="preserve">%。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②要求供应商进行合同分包，企业合同金额应当达到的比例为</w:t>
      </w:r>
      <w:r>
        <w:rPr>
          <w:rFonts w:hint="eastAsia" w:ascii="Times New Roman" w:hAnsi="Times New Roman" w:cs="Times New Roman"/>
          <w:sz w:val="24"/>
          <w:szCs w:val="24"/>
          <w:highlight w:val="none"/>
          <w:u w:val="single"/>
        </w:rPr>
        <w:t xml:space="preserve"> /</w:t>
      </w:r>
      <w:r>
        <w:rPr>
          <w:rFonts w:ascii="Times New Roman" w:hAnsi="Times New Roman" w:cs="Times New Roman"/>
          <w:sz w:val="24"/>
          <w:szCs w:val="24"/>
          <w:highlight w:val="none"/>
          <w:u w:val="single"/>
        </w:rPr>
        <w:t xml:space="preserve"> </w:t>
      </w:r>
      <w:r>
        <w:rPr>
          <w:rFonts w:hint="eastAsia" w:ascii="Times New Roman" w:hAnsi="Times New Roman" w:cs="Times New Roman"/>
          <w:sz w:val="24"/>
          <w:szCs w:val="24"/>
          <w:highlight w:val="none"/>
        </w:rPr>
        <w:t xml:space="preserve">%。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w:t>
      </w:r>
      <w:r>
        <w:rPr>
          <w:rFonts w:hint="eastAsia" w:ascii="Times New Roman" w:hAnsi="Times New Roman" w:cs="Times New Roman"/>
          <w:sz w:val="24"/>
          <w:szCs w:val="24"/>
          <w:highlight w:val="none"/>
        </w:rPr>
        <w:t xml:space="preserve">本项目为非预留份额的采购项目或采购包，执行价格扣除优惠政策，具体详见评标办法与标准。</w:t>
      </w:r>
      <w:r>
        <w:rPr>
          <w:rFonts w:ascii="Times New Roman" w:hAnsi="Times New Roman" w:cs="Times New Roman"/>
          <w:sz w:val="24"/>
          <w:szCs w:val="24"/>
          <w:highlight w:val="none"/>
        </w:rPr>
        <w:t xml:space="preserve"> </w:t>
      </w:r>
      <w:r/>
    </w:p>
    <w:p>
      <w:pPr>
        <w:ind w:firstLine="480"/>
        <w:spacing w:after="120"/>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2.3.本项目</w:t>
      </w:r>
      <w:r>
        <w:rPr>
          <w:rFonts w:hint="eastAsia" w:ascii="Times New Roman" w:hAnsi="Times New Roman" w:cs="Times New Roman"/>
          <w:sz w:val="24"/>
          <w:szCs w:val="24"/>
          <w:highlight w:val="none"/>
          <w:u w:val="single"/>
        </w:rPr>
        <w:t xml:space="preserve">不接受</w:t>
      </w:r>
      <w:r>
        <w:rPr>
          <w:rFonts w:hint="eastAsia" w:ascii="Times New Roman" w:hAnsi="Times New Roman" w:cs="Times New Roman"/>
          <w:sz w:val="24"/>
          <w:szCs w:val="24"/>
          <w:highlight w:val="none"/>
        </w:rPr>
        <w:t xml:space="preserve">进口产品投标；本项目</w:t>
      </w:r>
      <w:r>
        <w:rPr>
          <w:rFonts w:hint="eastAsia" w:ascii="Times New Roman" w:hAnsi="Times New Roman" w:cs="Times New Roman"/>
          <w:sz w:val="24"/>
          <w:szCs w:val="24"/>
          <w:highlight w:val="none"/>
          <w:u w:val="single"/>
        </w:rPr>
        <w:t xml:space="preserve">不接受</w:t>
      </w:r>
      <w:r>
        <w:rPr>
          <w:rFonts w:hint="eastAsia" w:ascii="Times New Roman" w:hAnsi="Times New Roman" w:cs="Times New Roman"/>
          <w:sz w:val="24"/>
          <w:szCs w:val="24"/>
          <w:highlight w:val="none"/>
        </w:rPr>
        <w:t xml:space="preserve">联合体参与投标；</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2.4.本项目的特定资格要求：无。</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2.5拒绝以下投标人参加本次采购活动：</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被“信用中国”网站（www.creditchina.gov.cn）、“中国政府采购网”(www.ccgp.gov.cn)列入失信被执行人、重大税收违法失信主体名单、政府采购严重失信行为记录名单，及其他不符合《中华人民共和国政府采购法》第二十二条规定条件的信用记录。</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（2）供应商单位负责人为同一人或者存在直接控股、管理关系的不同供应商，不得参加同一合同项下的政府采购活动；</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（3）为本项目提供整体设计、规范编制或者项目管理、监理、检测等服务的供应商，不得再参加本项目的采购活动；</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三、获取招标文件</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时间:自招标文件公告发布之日起5个工作日</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地点:江苏省政府采购网（苏采云平台）</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方式:在“江苏政府采购网”自行免费下载招标文件。</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四、提交投标文件截止时间、开标时间和地点</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2026</w:t>
      </w:r>
      <w:r>
        <w:rPr>
          <w:rFonts w:hint="eastAsia" w:ascii="Times New Roman" w:hAnsi="Times New Roman" w:cs="Times New Roman"/>
          <w:sz w:val="24"/>
          <w:szCs w:val="24"/>
          <w:highlight w:val="none"/>
        </w:rPr>
        <w:t xml:space="preserve">年</w:t>
      </w:r>
      <w:r>
        <w:rPr>
          <w:rFonts w:hint="eastAsia" w:ascii="Times New Roman" w:hAnsi="Times New Roman" w:cs="Times New Roman"/>
          <w:sz w:val="24"/>
          <w:szCs w:val="24"/>
          <w:highlight w:val="none"/>
          <w:lang w:val="en-US" w:eastAsia="zh-CN"/>
        </w:rPr>
        <w:t xml:space="preserve">8</w:t>
      </w:r>
      <w:r>
        <w:rPr>
          <w:rFonts w:hint="eastAsia"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7</w:t>
      </w:r>
      <w:r>
        <w:rPr>
          <w:rFonts w:hint="eastAsia" w:ascii="Times New Roman" w:hAnsi="Times New Roman" w:cs="Times New Roman"/>
          <w:sz w:val="24"/>
          <w:szCs w:val="24"/>
          <w:highlight w:val="none"/>
        </w:rPr>
        <w:t xml:space="preserve">日</w:t>
      </w:r>
      <w:r>
        <w:rPr>
          <w:rFonts w:ascii="Times New Roman" w:hAnsi="Times New Roman" w:cs="Times New Roman"/>
          <w:sz w:val="24"/>
          <w:szCs w:val="24"/>
          <w:highlight w:val="none"/>
        </w:rPr>
        <w:t xml:space="preserve">14:30 (</w:t>
      </w:r>
      <w:r>
        <w:rPr>
          <w:rFonts w:hint="eastAsia" w:ascii="Times New Roman" w:hAnsi="Times New Roman" w:cs="Times New Roman"/>
          <w:sz w:val="24"/>
          <w:szCs w:val="24"/>
          <w:highlight w:val="none"/>
        </w:rPr>
        <w:t xml:space="preserve">北京时间</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地点:“苏采云”政府采购交易系统网上开标大厅。</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五、公告期限</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5.1自本公告发布之日起5个工作日。</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六、其他补充事宜</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6.1</w:t>
      </w:r>
      <w:r>
        <w:rPr>
          <w:rFonts w:ascii="Times New Roman" w:hAnsi="Times New Roman" w:cs="Times New Roman"/>
          <w:sz w:val="24"/>
          <w:szCs w:val="24"/>
          <w:highlight w:val="none"/>
        </w:rPr>
        <w:t xml:space="preserve">有关本次招标的事项若存在变动或修改，敬请及时关注</w:t>
      </w:r>
      <w:r>
        <w:rPr>
          <w:rFonts w:hint="eastAsia" w:ascii="Times New Roman" w:hAnsi="Times New Roman" w:cs="Times New Roman"/>
          <w:sz w:val="24"/>
          <w:szCs w:val="24"/>
          <w:highlight w:val="none"/>
        </w:rPr>
        <w:t xml:space="preserve">“江苏省政府采购网”</w:t>
      </w:r>
      <w:r>
        <w:rPr>
          <w:rFonts w:ascii="Times New Roman" w:hAnsi="Times New Roman" w:cs="Times New Roman"/>
          <w:sz w:val="24"/>
          <w:szCs w:val="24"/>
          <w:highlight w:val="none"/>
        </w:rPr>
        <w:t xml:space="preserve">发布的信息更正公告。</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七、对本次招标提出询问，请按以下方式联系。</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7.1.采购人信息</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名 称：江苏省医疗保障局</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地址：南京市秦淮区建邺路168号</w:t>
      </w:r>
      <w:r/>
    </w:p>
    <w:p>
      <w:pPr>
        <w:ind w:firstLine="480"/>
        <w:spacing w:after="120"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联系方式：赵老师</w:t>
      </w:r>
      <w:r>
        <w:rPr>
          <w:rFonts w:hint="eastAsia"/>
          <w:highlight w:val="none"/>
        </w:rPr>
        <w:t xml:space="preserve">，</w:t>
      </w:r>
      <w:r>
        <w:rPr>
          <w:rFonts w:hint="eastAsia" w:ascii="Times New Roman" w:hAnsi="Times New Roman" w:cs="Times New Roman"/>
          <w:sz w:val="24"/>
          <w:szCs w:val="24"/>
          <w:highlight w:val="none"/>
        </w:rPr>
        <w:t xml:space="preserve">025-83290288</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7.2.采购代理机构信息</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名 称：</w:t>
      </w:r>
      <w:r>
        <w:rPr>
          <w:rFonts w:ascii="Times New Roman" w:hAnsi="Times New Roman" w:cs="Times New Roman"/>
          <w:sz w:val="24"/>
          <w:szCs w:val="24"/>
          <w:highlight w:val="none"/>
        </w:rPr>
        <w:t xml:space="preserve">中通服咨询设计研究院有限公司</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地　址：</w:t>
      </w:r>
      <w:r>
        <w:rPr>
          <w:rFonts w:ascii="Times New Roman" w:hAnsi="Times New Roman" w:cs="Times New Roman"/>
          <w:sz w:val="24"/>
          <w:szCs w:val="24"/>
          <w:highlight w:val="none"/>
        </w:rPr>
        <w:t xml:space="preserve">南京市建邺区楠溪江东街58号</w:t>
      </w:r>
      <w:r/>
    </w:p>
    <w:p>
      <w:pPr>
        <w:ind w:left="1679" w:hanging="120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联系人：朱晓琦、陈沭</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联系电话：18021521325</w:t>
      </w:r>
      <w:r/>
    </w:p>
    <w:p>
      <w:pPr>
        <w:jc w:val="right"/>
        <w:spacing w:line="360" w:lineRule="auto"/>
        <w:rPr>
          <w:rFonts w:ascii="Times New Roman" w:hAnsi="Times New Roman" w:cs="Times New Roman"/>
          <w:highlight w:val="none"/>
        </w:rPr>
      </w:pPr>
      <w:r>
        <w:rPr>
          <w:rFonts w:ascii="Times New Roman" w:hAnsi="Times New Roman" w:cs="Times New Roman"/>
          <w:highlight w:val="none"/>
        </w:rPr>
      </w:r>
      <w:r/>
    </w:p>
    <w:p>
      <w:pPr>
        <w:rPr>
          <w:rFonts w:ascii="黑体" w:eastAsia="黑体" w:cs="黑体"/>
          <w:sz w:val="36"/>
          <w:szCs w:val="36"/>
          <w:highlight w:val="none"/>
          <w:lang w:val="zh-TW" w:eastAsia="zh-TW"/>
        </w:rPr>
      </w:pPr>
      <w:r/>
      <w:bookmarkStart w:id="7" w:name="_Toc10216"/>
      <w:r>
        <w:rPr>
          <w:rFonts w:ascii="黑体" w:eastAsia="黑体" w:cs="黑体"/>
          <w:sz w:val="36"/>
          <w:szCs w:val="36"/>
          <w:highlight w:val="none"/>
          <w:lang w:val="zh-TW" w:eastAsia="zh-TW"/>
        </w:rPr>
        <w:br w:type="page" w:clear="all"/>
      </w:r>
      <w:r/>
    </w:p>
    <w:p>
      <w:pPr>
        <w:ind w:right="720"/>
        <w:jc w:val="center"/>
        <w:spacing w:line="360" w:lineRule="auto"/>
        <w:widowControl/>
        <w:rPr>
          <w:rFonts w:ascii="黑体" w:eastAsia="黑体" w:cs="黑体"/>
          <w:sz w:val="36"/>
          <w:szCs w:val="36"/>
          <w:highlight w:val="none"/>
          <w:lang w:val="zh-TW" w:eastAsia="zh-TW"/>
        </w:rPr>
        <w:outlineLvl w:val="0"/>
      </w:pPr>
      <w:r>
        <w:rPr>
          <w:rFonts w:ascii="黑体" w:eastAsia="黑体" w:cs="黑体"/>
          <w:sz w:val="36"/>
          <w:szCs w:val="36"/>
          <w:highlight w:val="none"/>
          <w:lang w:val="zh-TW" w:eastAsia="zh-TW"/>
        </w:rPr>
        <w:t xml:space="preserve">第二章  </w:t>
      </w:r>
      <w:r>
        <w:rPr>
          <w:rFonts w:hint="eastAsia" w:ascii="黑体" w:eastAsia="黑体" w:cs="黑体"/>
          <w:sz w:val="36"/>
          <w:szCs w:val="36"/>
          <w:highlight w:val="none"/>
          <w:lang w:val="zh-TW"/>
        </w:rPr>
        <w:t xml:space="preserve">投标人</w:t>
      </w:r>
      <w:r>
        <w:rPr>
          <w:rFonts w:ascii="黑体" w:eastAsia="黑体" w:cs="黑体"/>
          <w:sz w:val="36"/>
          <w:szCs w:val="36"/>
          <w:highlight w:val="none"/>
          <w:lang w:val="zh-TW" w:eastAsia="zh-TW"/>
        </w:rPr>
        <w:t xml:space="preserve">须知</w:t>
      </w:r>
      <w:bookmarkEnd w:id="4"/>
      <w:r/>
      <w:bookmarkEnd w:id="5"/>
      <w:r/>
      <w:bookmarkEnd w:id="6"/>
      <w:r/>
      <w:bookmarkEnd w:id="7"/>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一、总则</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w:t>
      </w:r>
      <w:r>
        <w:rPr>
          <w:rFonts w:ascii="Times New Roman" w:hAnsi="Times New Roman" w:cs="Times New Roman"/>
          <w:b/>
          <w:sz w:val="24"/>
          <w:szCs w:val="24"/>
          <w:highlight w:val="none"/>
        </w:rPr>
        <w:t xml:space="preserve">、采购方式</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1.1本次采购采用公开招标方式，本招标文件仅适用于招标公告中所述项目。</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2、合格的投标人</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2.1满足招标公告中投标人资质要求的规定。</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 满足本文件实质性条款的规定。</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3、适用法律</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3.1本次采购及由本次采购产生的合同受中华人民共和国有关法律法规制约和保护。</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 政策功能</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3.2.1 促进中小企业发展。在政府采购活动中，供应商提供的货物、项目或者服务符合下列情形的，享受中小企业扶持政策：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（2）在项目采购项目中，项目由中小企业承建，即项目施工单位为中小企业；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（3）在服务采购项目中，服务由中小企业承接，即提供服务的人员为中小企业依照《中华人民共和国劳动合同法》订立劳动合同的从业人员。 在货物采购项目中，供应商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sz w:val="24"/>
          <w:szCs w:val="24"/>
          <w:highlight w:val="none"/>
        </w:rPr>
        <w:t xml:space="preserve">供应商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3.2.5 采购的产品属于信息安全产品的，供应商应当选择经国家认证的信息安全产品投标，并提供由中国信息安全认证中心按国家标准认证颁发的有效认证证书。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3.2.6 采购的产品属于政府强制采购节能产品的，供应商应当选择依据国家标准中二级能效（水效）指标认证的节能产品投标，并提供有效的节能产品认证证书。 </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3.2.7 采购的产品属于环境标志产品的,供应商应当选择依据相关标准的最新版本认证的环境标志产品投标,并提供有效的环境标志产品认证证书。</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w:t>
      </w:r>
      <w:r>
        <w:rPr>
          <w:rFonts w:ascii="Times New Roman" w:hAnsi="Times New Roman" w:cs="Times New Roman"/>
          <w:sz w:val="24"/>
          <w:szCs w:val="24"/>
          <w:highlight w:val="none"/>
        </w:rPr>
        <w:t xml:space="preserve">.2.8 除招标公告载明接受进口产品参加外</w:t>
      </w:r>
      <w:r>
        <w:rPr>
          <w:rFonts w:hint="eastAsia" w:ascii="Times New Roman" w:hAnsi="Times New Roman" w:cs="Times New Roman"/>
          <w:sz w:val="24"/>
          <w:szCs w:val="24"/>
          <w:highlight w:val="none"/>
        </w:rPr>
        <w:t xml:space="preserve">，</w:t>
      </w:r>
      <w:r>
        <w:rPr>
          <w:rFonts w:ascii="Times New Roman" w:hAnsi="Times New Roman" w:cs="Times New Roman"/>
          <w:sz w:val="24"/>
          <w:szCs w:val="24"/>
          <w:highlight w:val="none"/>
        </w:rPr>
        <w:t xml:space="preserve">不允许进口产品参加</w:t>
      </w:r>
      <w:r>
        <w:rPr>
          <w:rFonts w:hint="eastAsia" w:ascii="Times New Roman" w:hAnsi="Times New Roman" w:cs="Times New Roman"/>
          <w:sz w:val="24"/>
          <w:szCs w:val="24"/>
          <w:highlight w:val="none"/>
        </w:rPr>
        <w:t xml:space="preserve">。进口产品认定依照《财政部办公厅关于政府采购进口产品管理有关问题的通知》（财办库</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2008</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248号</w:t>
      </w:r>
      <w:r>
        <w:rPr>
          <w:rFonts w:hint="eastAsia" w:ascii="Times New Roman" w:hAnsi="Times New Roman" w:cs="Times New Roman"/>
          <w:sz w:val="24"/>
          <w:szCs w:val="24"/>
          <w:highlight w:val="none"/>
        </w:rPr>
        <w:t xml:space="preserve">）的规定。</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3.2.9本国产品支持政策</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3.2.10 根据财库〔2026〕2号文件，评标工作组启动异常低价投标审查的情形和具体要求，包括：</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（一）1.投标报价低于全部通过符合性审查供应商投标报价平均值50%的，即投标报价&lt;全部通过符合性审查供应商投标报价平均值×50%；</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2.投标报价低于通过符合性审查的次低报价供应商投标报价50%的，即投标报价&lt;通过符合性审查的次低报价供应商投标报价×50%；</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3.投标报价低于采购项目最高限价45%的，即投标报价&lt;采购项目最高限价×45%；</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4.评标工作组基于专业判断，认为供应商报价过低，有可能影响产品质量或者不能诚信履约的其他情形。</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二）评标工作组启动异常低价投标审查后，属于前述第1项至第4项情形的，评标委员会通过“苏采云”系统要求投标人作出必要的说明,相关供应商应在30分钟内通过“苏采云”系统（使用“CA数字证书”,加盖电子签章）形式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评标工作组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工作组应当将其作为无效投标处理。</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采购人、采购代理机构应当为评标工作组在评审现场及时获取同类项目中标（成交）价格、类似产品市场价格水平、行业人工费用标准、国家有关部门指导行业协会发布的行业平均成本等相关信息资料提供便利。评标工作组借助互联网等渠道查询相关信息的，应当严格遵守评审工作纪律，不得实施影响评审公正的行为。</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异常低价投标审查的启动原因、审查意见和审查结果应当在评审报告中记录，并随供应商提供的相关书面说明及证明材料，以及评标工作组有关互联网浏览、查询历史一并归档。</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w:t>
      </w:r>
      <w:r>
        <w:rPr>
          <w:rFonts w:ascii="Times New Roman" w:hAnsi="Times New Roman" w:cs="Times New Roman"/>
          <w:sz w:val="24"/>
          <w:szCs w:val="24"/>
          <w:highlight w:val="none"/>
        </w:rPr>
        <w:t xml:space="preserve">1</w:t>
      </w:r>
      <w:r>
        <w:rPr>
          <w:rFonts w:hint="eastAsia" w:ascii="Times New Roman" w:hAnsi="Times New Roman" w:cs="Times New Roman"/>
          <w:sz w:val="24"/>
          <w:szCs w:val="24"/>
          <w:highlight w:val="none"/>
        </w:rPr>
        <w:t xml:space="preserve">1 未按要求提供相关材料的，不享受相关政策。</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3.2.12 在本项目政府采购活动过程中，如果所执行的标准有更新的，按照最新标准执行。</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4、投标费用</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4.2</w:t>
      </w:r>
      <w:r>
        <w:rPr>
          <w:rFonts w:hint="eastAsia" w:ascii="Times New Roman" w:hAnsi="Times New Roman" w:cs="Times New Roman"/>
          <w:sz w:val="24"/>
          <w:szCs w:val="24"/>
          <w:highlight w:val="none"/>
        </w:rPr>
        <w:t xml:space="preserve">本项目不收取标书费，投标人免费从苏采云系统下载招标文件，招标代理服务费、本项目招标文件专家论证费由中标人支付，参照《江苏省政府采购代理服务收费指导意见》（苏政采协[2024]20号）所列招标代理服务费收费标准的55%收取。</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5、招标文件的约束力</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5.1 </w:t>
      </w:r>
      <w:r>
        <w:rPr>
          <w:rFonts w:hint="eastAsia" w:ascii="宋体" w:hAnsi="宋体"/>
          <w:sz w:val="24"/>
          <w:szCs w:val="24"/>
          <w:highlight w:val="none"/>
        </w:rPr>
        <w:t xml:space="preserve">投标人一旦参加本项目采购活动，即被认为接受了本招标文件的规定和约束。</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二、招标文件</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6、招标文件的构成</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6.1招标文件由以下部分组成：</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w:t>
      </w:r>
      <w:r>
        <w:rPr>
          <w:rFonts w:hint="eastAsia" w:ascii="Times New Roman" w:hAnsi="Times New Roman" w:cs="Times New Roman"/>
          <w:sz w:val="24"/>
          <w:szCs w:val="24"/>
          <w:highlight w:val="none"/>
        </w:rPr>
        <w:t xml:space="preserve">招标</w:t>
      </w:r>
      <w:r>
        <w:rPr>
          <w:rFonts w:ascii="Times New Roman" w:hAnsi="Times New Roman" w:cs="Times New Roman"/>
          <w:sz w:val="24"/>
          <w:szCs w:val="24"/>
          <w:highlight w:val="none"/>
        </w:rPr>
        <w:t xml:space="preserve">公告</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（2）投标人须知</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（3）合同条款及格式</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（4）项目需求</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（5）评标方法与评标标准</w:t>
      </w:r>
      <w:r/>
    </w:p>
    <w:p>
      <w:pPr>
        <w:ind w:firstLine="36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（6）投标文件格式</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请仔细检查招标文件是否齐全，如有缺漏请立即与</w:t>
      </w:r>
      <w:r>
        <w:rPr>
          <w:rFonts w:hint="eastAsia" w:ascii="Times New Roman" w:hAnsi="Times New Roman" w:cs="Times New Roman"/>
          <w:sz w:val="24"/>
          <w:szCs w:val="24"/>
          <w:highlight w:val="none"/>
        </w:rPr>
        <w:t xml:space="preserve">招标</w:t>
      </w:r>
      <w:r>
        <w:rPr>
          <w:rFonts w:ascii="Times New Roman" w:hAnsi="Times New Roman" w:cs="Times New Roman"/>
          <w:sz w:val="24"/>
          <w:szCs w:val="24"/>
          <w:highlight w:val="none"/>
        </w:rPr>
        <w:t xml:space="preserve">代理机构联系解决。</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7、招标文件的澄清</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任何要求对招标文件进行澄清的投标人，均应在投标截止期前十日前以书面形式通知采购人。</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8、招标文件的修改</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8.l在投标截止日期前，无论何种原因，采购人均可主动或在解答投标人提出的澄清问题时对招标文件进行修改。</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8.2招标文件的修改将在“</w:t>
      </w:r>
      <w:r>
        <w:rPr>
          <w:rFonts w:hint="eastAsia" w:ascii="Times New Roman" w:hAnsi="Times New Roman" w:cs="Times New Roman"/>
          <w:sz w:val="24"/>
          <w:szCs w:val="24"/>
          <w:highlight w:val="none"/>
        </w:rPr>
        <w:t xml:space="preserve">江苏省政府采购网</w:t>
      </w:r>
      <w:r>
        <w:rPr>
          <w:rFonts w:ascii="Times New Roman" w:hAnsi="Times New Roman" w:cs="Times New Roman"/>
          <w:sz w:val="24"/>
          <w:szCs w:val="24"/>
          <w:highlight w:val="none"/>
        </w:rPr>
        <w:t xml:space="preserve">”网站上公布，并对所有投标人具有约束力。</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8.3为使投标人编写标书有充分时间对标书文件的修改部分进行分析、研究，采购人有权</w:t>
      </w:r>
      <w:r>
        <w:rPr>
          <w:rFonts w:hint="eastAsia" w:ascii="Times New Roman" w:hAnsi="Times New Roman" w:cs="Times New Roman"/>
          <w:sz w:val="24"/>
          <w:szCs w:val="24"/>
          <w:highlight w:val="none"/>
        </w:rPr>
        <w:t xml:space="preserve">按照法定要求</w:t>
      </w:r>
      <w:r>
        <w:rPr>
          <w:rFonts w:ascii="Times New Roman" w:hAnsi="Times New Roman" w:cs="Times New Roman"/>
          <w:sz w:val="24"/>
          <w:szCs w:val="24"/>
          <w:highlight w:val="none"/>
        </w:rPr>
        <w:t xml:space="preserve">推迟投标截止日期和开标日期。</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三、投标文件的编制</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9、投标语言及度量衡单位</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9.1投标人提供的投标文件以及投标人与采购人就有关投标的所有来往通知、函件和文件均使用</w:t>
      </w:r>
      <w:r>
        <w:rPr>
          <w:rFonts w:ascii="Times New Roman" w:hAnsi="Times New Roman" w:cs="Times New Roman"/>
          <w:b/>
          <w:sz w:val="24"/>
          <w:szCs w:val="24"/>
          <w:highlight w:val="none"/>
        </w:rPr>
        <w:t xml:space="preserve">简体中文</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10、投标文件的构成</w:t>
      </w:r>
      <w:r>
        <w:rPr>
          <w:rFonts w:hint="eastAsia" w:ascii="Times New Roman" w:hAnsi="Times New Roman" w:cs="Times New Roman"/>
          <w:b/>
          <w:sz w:val="24"/>
          <w:szCs w:val="24"/>
          <w:highlight w:val="none"/>
        </w:rPr>
        <w:t xml:space="preserve">（相应内容上传至投标客户端，并签电子公章）</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投标人编写的投标文件应包括下列部分：</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10.1投标文件目录；</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10.2投标函：须含投标人的开户名称、开户银行、账号、电话、传真、E-mail等联系方式；</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10.3投标人资格证明材料；</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详见招标文件第六章6.9 资格证明文件</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10.4开标一览表</w:t>
      </w:r>
      <w:r>
        <w:rPr>
          <w:rFonts w:hint="eastAsia" w:ascii="Times New Roman" w:hAnsi="Times New Roman" w:cs="Times New Roman"/>
          <w:sz w:val="24"/>
          <w:szCs w:val="24"/>
          <w:highlight w:val="none"/>
        </w:rPr>
        <w:t xml:space="preserve">: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10.5投标人参照</w:t>
      </w:r>
      <w:r>
        <w:rPr>
          <w:rFonts w:hint="eastAsia" w:ascii="Times New Roman" w:hAnsi="Times New Roman" w:cs="Times New Roman"/>
          <w:sz w:val="24"/>
          <w:szCs w:val="24"/>
          <w:highlight w:val="none"/>
        </w:rPr>
        <w:t xml:space="preserve">招标文件</w:t>
      </w:r>
      <w:r>
        <w:rPr>
          <w:rFonts w:ascii="Times New Roman" w:hAnsi="Times New Roman" w:cs="Times New Roman"/>
          <w:sz w:val="24"/>
          <w:szCs w:val="24"/>
          <w:highlight w:val="none"/>
        </w:rPr>
        <w:t xml:space="preserve">中技术条款对本项目所投产品的技术指标响应进行准确描述，并附《</w:t>
      </w:r>
      <w:r>
        <w:rPr>
          <w:rFonts w:hint="eastAsia" w:ascii="Times New Roman" w:hAnsi="Times New Roman" w:cs="Times New Roman"/>
          <w:sz w:val="24"/>
          <w:szCs w:val="24"/>
          <w:highlight w:val="none"/>
        </w:rPr>
        <w:t xml:space="preserve">技术要求响应及偏离表</w:t>
      </w:r>
      <w:r>
        <w:rPr>
          <w:rFonts w:ascii="Times New Roman" w:hAnsi="Times New Roman" w:cs="Times New Roman"/>
          <w:sz w:val="24"/>
          <w:szCs w:val="24"/>
          <w:highlight w:val="none"/>
        </w:rPr>
        <w:t xml:space="preserve">》；</w:t>
      </w:r>
      <w:r>
        <w:rPr>
          <w:rFonts w:hint="eastAsia" w:ascii="Times New Roman" w:hAnsi="Times New Roman" w:cs="Times New Roman"/>
          <w:sz w:val="24"/>
          <w:szCs w:val="24"/>
          <w:highlight w:val="none"/>
        </w:rPr>
        <w:t xml:space="preserve">定型产品</w:t>
      </w:r>
      <w:r>
        <w:rPr>
          <w:rFonts w:ascii="Times New Roman" w:hAnsi="Times New Roman" w:cs="Times New Roman"/>
          <w:sz w:val="24"/>
          <w:szCs w:val="24"/>
          <w:highlight w:val="none"/>
        </w:rPr>
        <w:t xml:space="preserve">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10.6投标人按照</w:t>
      </w:r>
      <w:r>
        <w:rPr>
          <w:rFonts w:hint="eastAsia" w:ascii="Times New Roman" w:hAnsi="Times New Roman" w:cs="Times New Roman"/>
          <w:sz w:val="24"/>
          <w:szCs w:val="24"/>
          <w:highlight w:val="none"/>
        </w:rPr>
        <w:t xml:space="preserve">招标文件</w:t>
      </w:r>
      <w:r>
        <w:rPr>
          <w:rFonts w:ascii="Times New Roman" w:hAnsi="Times New Roman" w:cs="Times New Roman"/>
          <w:sz w:val="24"/>
          <w:szCs w:val="24"/>
          <w:highlight w:val="none"/>
        </w:rPr>
        <w:t xml:space="preserve">中商务条款提供</w:t>
      </w:r>
      <w:r>
        <w:rPr>
          <w:rFonts w:hint="eastAsia" w:ascii="Times New Roman" w:hAnsi="Times New Roman" w:cs="Times New Roman"/>
          <w:sz w:val="24"/>
          <w:szCs w:val="24"/>
          <w:highlight w:val="none"/>
        </w:rPr>
        <w:t xml:space="preserve">交货安装、工期保证等方案以及产品售后服务和质量承诺</w:t>
      </w:r>
      <w:r>
        <w:rPr>
          <w:rFonts w:ascii="Times New Roman" w:hAnsi="Times New Roman" w:cs="Times New Roman"/>
          <w:sz w:val="24"/>
          <w:szCs w:val="24"/>
          <w:highlight w:val="none"/>
        </w:rPr>
        <w:t xml:space="preserve">，并附《</w:t>
      </w:r>
      <w:r>
        <w:rPr>
          <w:rFonts w:hint="eastAsia" w:ascii="Times New Roman" w:hAnsi="Times New Roman" w:cs="Times New Roman"/>
          <w:sz w:val="24"/>
          <w:szCs w:val="24"/>
          <w:highlight w:val="none"/>
        </w:rPr>
        <w:t xml:space="preserve">商务要求响应及偏离表</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10.7投标人的业绩情况；</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10.8投标人认为有必要提供的文件材料；</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10.9</w:t>
      </w:r>
      <w:r>
        <w:rPr>
          <w:rFonts w:hint="eastAsia" w:ascii="Times New Roman" w:hAnsi="Times New Roman" w:cs="Times New Roman"/>
          <w:sz w:val="24"/>
          <w:szCs w:val="24"/>
          <w:highlight w:val="none"/>
        </w:rPr>
        <w:t xml:space="preserve">投标人应当根据招标文件要求编制投标文件，投标文件应对招标文件提出的要求和条件作出实质性响应，并在相应的投标文件中逐条标明满足与否</w:t>
      </w:r>
      <w:r>
        <w:rPr>
          <w:rFonts w:ascii="Times New Roman" w:hAnsi="Times New Roman" w:cs="Times New Roman"/>
          <w:sz w:val="24"/>
          <w:szCs w:val="24"/>
          <w:highlight w:val="none"/>
        </w:rPr>
        <w:t xml:space="preserve">。</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11、其它费用处理</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招标文件未列明，而投标单位认为必需的费用也需列入报价。</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12、投标保证金</w:t>
      </w:r>
      <w:r/>
    </w:p>
    <w:p>
      <w:pPr>
        <w:ind w:firstLine="482"/>
        <w:spacing w:line="360" w:lineRule="auto"/>
        <w:rPr>
          <w:rFonts w:ascii="Times New Roman" w:hAnsi="Times New Roman" w:cs="Times New Roman"/>
          <w:sz w:val="24"/>
          <w:szCs w:val="24"/>
          <w:highlight w:val="none"/>
        </w:rPr>
      </w:pPr>
      <w:r>
        <w:rPr>
          <w:rFonts w:ascii="Times New Roman" w:hAnsi="Times New Roman" w:cs="Times New Roman"/>
          <w:b/>
          <w:sz w:val="24"/>
          <w:szCs w:val="24"/>
          <w:highlight w:val="none"/>
        </w:rPr>
        <w:t xml:space="preserve">本次招标不收取投标保证金</w:t>
      </w:r>
      <w:r>
        <w:rPr>
          <w:rFonts w:hint="eastAsia" w:ascii="Times New Roman" w:hAnsi="Times New Roman" w:cs="Times New Roman"/>
          <w:b/>
          <w:sz w:val="24"/>
          <w:szCs w:val="24"/>
          <w:highlight w:val="none"/>
        </w:rPr>
        <w:t xml:space="preserve">。</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13、投标有效期</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投标有效期为采购人规定的开标之日后九十</w:t>
      </w:r>
      <w:r>
        <w:rPr>
          <w:rFonts w:hint="eastAsia" w:ascii="Times New Roman" w:hAnsi="Times New Roman" w:cs="Times New Roman"/>
          <w:sz w:val="24"/>
          <w:szCs w:val="24"/>
          <w:highlight w:val="none"/>
        </w:rPr>
        <w:t xml:space="preserve">（90）</w:t>
      </w:r>
      <w:r>
        <w:rPr>
          <w:rFonts w:ascii="Times New Roman" w:hAnsi="Times New Roman" w:cs="Times New Roman"/>
          <w:sz w:val="24"/>
          <w:szCs w:val="24"/>
          <w:highlight w:val="none"/>
        </w:rPr>
        <w:t xml:space="preserve">天内有效。如果采购人在有效期之内，可向投标人提出延长投标有效期的要求。要求与答复均应采用书面形式。</w:t>
      </w:r>
      <w:r>
        <w:rPr>
          <w:rFonts w:ascii="Times New Roman" w:hAnsi="Times New Roman" w:cs="Times New Roman"/>
          <w:bCs/>
          <w:sz w:val="24"/>
          <w:szCs w:val="24"/>
          <w:highlight w:val="none"/>
        </w:rPr>
        <w:t xml:space="preserve">投标人可以拒绝采购人的这一要求而放弃投标，</w:t>
      </w:r>
      <w:r>
        <w:rPr>
          <w:rFonts w:ascii="Times New Roman" w:hAnsi="Times New Roman" w:cs="Times New Roman"/>
          <w:sz w:val="24"/>
          <w:szCs w:val="24"/>
          <w:highlight w:val="none"/>
        </w:rPr>
        <w:t xml:space="preserve">采购人在接到投标人书面答复后，将在原投标有效期满后五日内</w:t>
      </w:r>
      <w:r>
        <w:rPr>
          <w:rFonts w:ascii="Times New Roman" w:hAnsi="Times New Roman" w:cs="Times New Roman"/>
          <w:bCs/>
          <w:sz w:val="24"/>
          <w:szCs w:val="24"/>
          <w:highlight w:val="none"/>
        </w:rPr>
        <w:t xml:space="preserve">无息退还其投标保证金</w:t>
      </w:r>
      <w:r>
        <w:rPr>
          <w:rFonts w:ascii="Times New Roman" w:hAnsi="Times New Roman" w:cs="Times New Roman"/>
          <w:sz w:val="24"/>
          <w:szCs w:val="24"/>
          <w:highlight w:val="none"/>
        </w:rPr>
        <w:t xml:space="preserve">。</w:t>
      </w:r>
      <w:r>
        <w:rPr>
          <w:rFonts w:ascii="Times New Roman" w:hAnsi="Times New Roman" w:cs="Times New Roman"/>
          <w:bCs/>
          <w:sz w:val="24"/>
          <w:szCs w:val="24"/>
          <w:highlight w:val="none"/>
        </w:rPr>
        <w:t xml:space="preserve">同意延</w:t>
      </w:r>
      <w:r>
        <w:rPr>
          <w:rFonts w:ascii="Times New Roman" w:hAnsi="Times New Roman" w:cs="Times New Roman"/>
          <w:sz w:val="24"/>
          <w:szCs w:val="24"/>
          <w:highlight w:val="none"/>
        </w:rPr>
        <w:t xml:space="preserve">长投标有效期的投标人既不能要求也不允许修改其投标文件。第12条有关投标保证金的没收和退还的规定在延长期内继续有效，同时受投标有效期约束的所有权利与义务均延长至新的有效期。</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14、</w:t>
      </w:r>
      <w:r>
        <w:rPr>
          <w:rFonts w:hint="eastAsia" w:ascii="Times New Roman" w:hAnsi="Times New Roman" w:cs="Times New Roman"/>
          <w:b/>
          <w:sz w:val="24"/>
          <w:szCs w:val="24"/>
          <w:highlight w:val="none"/>
        </w:rPr>
        <w:t xml:space="preserve">投标文件的编制要求和签署要求</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14.2投标人应对 CA 证书妥善保管，如被他人盗用投标，因此带来的后果均由投标人自行承担。</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14.3投标人应当对招标文件提出的要求和条件作出实质性响应，并在电子投标系统逐条应答。</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14.4投标人应对要求提供的资格证明文件（如资质证书、资格证书）、技术资料（如白皮书、彩页、手册、检测报告等）扫描上传至投标系统。</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四、投标文件的递交</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15.电子投标文件的递交</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15.1投标人应当按照规定，在投标截止时间前制作并上传电子投标文件。</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16.投标截止日期</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16.1 投标人上传电子投标文件的时间不得迟于招标公告中规定的投标截止时间。</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投标人应充分考虑到网络环境、网络带宽等风险因素，如因投标人自身原因造成的电子投标文件上传不成功的做无效投标处理。</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16.2 采购人及采购代理机构可以按照规定，通过修改招标文件酌情延长投标截止日期，在此情况下，投标人的所有权利和义务以及投标人受制的截止日期均应以延长后新的截止日期为准。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17.投标文件的拒收</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17.1 采购人及采购代理机构拒绝接收在其规定的投标截止时间后上传的任何投标文件。</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18.投标文件的撤回和修改</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18.1 投标文件的撤回</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18.1.1 电子投标文件的撤回</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投标人可在投标截止时间前，撤回其电子投标文件。</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18.1.2 投标人撤回电子投标文件，则认为其不再参与本项目投标活动。</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18.2 投标文件的修改</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18.2.1投标人可在投标截止时间前，对其电子投标文件进行修改。</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18.2.2 在投标截止时间之后，投标人不得对其电子投标文件作任何修改。</w:t>
      </w:r>
      <w:r/>
    </w:p>
    <w:p>
      <w:pPr>
        <w:ind w:firstLine="480"/>
        <w:spacing w:line="360" w:lineRule="auto"/>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18.3 在投标截止时间至招标文件中规定的投标有效期满之间的这段时间内，投标人不得撤回其投标。</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五、开标与评标</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19、开标</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19.1开标时间及地点。开标应当在招标文件确定的提交投标文件截止时间的同一时间公开进行；开标地点应当为招标文件中预先确定的地点。</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19.2由电子招标投标交易平台主持，邀请投标人参加。</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19.3所有投标单位使用 CA 证书在开标时间时，解密各自投标文件，由工作人员操作系统进行开标，投标人不足3家的，不得开标。</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19.4投标人原因造成投标文件未解密的，视为撤销其投标文件；因投标人之外的原因造成投标文件未解密的，视为撤回其投标文件。部分投标文件未解密的，其他投标文件的开标可以继续进行</w:t>
      </w:r>
      <w:r>
        <w:rPr>
          <w:rFonts w:ascii="Times New Roman" w:hAnsi="Times New Roman" w:cs="Times New Roman"/>
          <w:sz w:val="24"/>
          <w:szCs w:val="24"/>
          <w:highlight w:val="none"/>
        </w:rPr>
        <w:t xml:space="preserve">。</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20、评标过程的保密与公正</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21、投标的澄清</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21.2 评标委员会应当通过“苏采云”系统要求投标人作出澄清、说明或者补正，并规定回复时间。投标人回复应当采用通过“苏采云”系统（使用“CA数字证书”,加盖电子签章）形式，将作为投标文件内容的一部分。</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sz w:val="24"/>
          <w:szCs w:val="24"/>
          <w:highlight w:val="none"/>
        </w:rPr>
        <w:t xml:space="preserve">。</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22、对投标文件的初审</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22.1投标文件初审分为资格性检查和符合性检查。</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资格性检查：依据法律法规和招标文件的规定，由采购人对投标文件中的资格证明文件进行审查。资格审查的结论，采购人以书面形式向评标工作组进行反馈。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符合性检查：依据招标文件的规定，由评标工作组从投标文件的有效性、完整性和对招标文件的响应程度进行审查，以确定是否对招标文件的实质性要求作出响应。</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22.2在详细评标之前，评标工作组将首先审查每份投标文件是否实质性响应了招标文件的要求。实质性响应的投标应该是与招标文件要求的全部条款、条件和规格相符，没有重大偏离或保留的投标。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所谓重大偏离或保留是指与招标文件规定的实质性要求存在负偏离，或者在实质上与招标文件不一致，而且限制了合同中甲方和见证方的权利或投标人的义务，纠正这些偏离或保留将会对其他实质性响应要求的投标人的竞争地位产生不公正的影响。重大偏离的认定需经过评标工作组三分</w:t>
      </w:r>
      <w:r>
        <w:rPr>
          <w:rFonts w:hint="eastAsia" w:ascii="Times New Roman" w:hAnsi="Times New Roman" w:cs="Times New Roman"/>
          <w:sz w:val="24"/>
          <w:szCs w:val="24"/>
          <w:highlight w:val="none"/>
        </w:rPr>
        <w:t xml:space="preserve">之</w:t>
      </w:r>
      <w:r>
        <w:rPr>
          <w:rFonts w:ascii="Times New Roman" w:hAnsi="Times New Roman" w:cs="Times New Roman"/>
          <w:sz w:val="24"/>
          <w:szCs w:val="24"/>
          <w:highlight w:val="none"/>
        </w:rPr>
        <w:t xml:space="preserve">二及以上成员的认定。评委决定投标文件的响应性只根据投标文件本身的内容，而不寻求外部的证据。</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22.3如果投标文件实质上没有响应招标文件的要求，评标工作组将予以拒绝，投标人不得通过修改或撤销不合要求的偏离或保留而使其投标成为实质性响应的投标。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（1）投标文件中开标一览表（报价表）内容与投标文件中相应内容不一致的，以开标一览表（报价表）为准；</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（2）大写金额和小写金额不一致的，以大写金额为准；</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（3）单价金额小数点或者百分比有明显错位的，以开标一览表的总价为准，并修改单价；</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（4）总价金额与按单价汇总金额不一致的，以单价金额计算结果为准。</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22.5评标工作组将按上述修正错误的方法调整投标文件中的投标报价，调整后的价格应对投标人具有约束力。如果投标人不接受修正后的价格，则其投标将被拒绝，其投标保证金不予退还。</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22.6评标工作组将允许修正投标文件中不构成重大偏离的、微小的、非正规的、不一致的或不规则的地方，但这些修改不能影响任何投标人相应的名次排列。</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22.7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82"/>
        <w:spacing w:line="360" w:lineRule="auto"/>
        <w:shd w:val="clear" w:color="auto" w:fill="ffffff"/>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23、无效投标条款和废标条款</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23.1无效投标条款：</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（1）投标人在苏采云系统规定的时间内未成功解密电子投标文件的。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（2）投标人未按照招标文件要求上传电子投标文件的。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（3）供应商不具备招标文件中规定资格要求的；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（4）供应商在报价时采用选择性报价；</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（5）报价超过招标文件中规定的预算金额或者最高限价的；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（6）投标文件含有采购人不能接受的附加条件的；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（7）不同供应商的投标文件由同一单位或者个人编制；</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（8）不同供应商委托同一单位或者个人办理投标事宜；</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（9）不同供应商的投标文件载明的项目管理成员或联系人员为同一人；</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（10）不同供应商的投标文件异常一致或者投标报价呈规律性差异；</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（11）不同供应商的投标文件相互混装；</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（12）不同供应商的法定代表人或委托代理人有夫妻、直系血亲关系的；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（13）不同供应商的负责人为同一人或者存在控股、管理关系的；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（14）不同供应商的委托代理人(或法定代表人、项目经理、项目总监、项目负责人等)在招标文件发布日上月至投标截止日当月在同一单位缴纳社会保险的；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（15）提供虚假材料的（包括工商营业执照、财务报表、资格证明文件等）；</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（16）未通过符合性检查的；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17）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（18）不符合招标文件中规定的其它实质性要求的；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（19）投标人所投标产品不符合招标文件中所列国家强制性标准的；</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（20）法律、法规和招标文件规定的其他无效情形。</w:t>
      </w:r>
      <w:r/>
    </w:p>
    <w:p>
      <w:pPr>
        <w:ind w:left="479"/>
        <w:spacing w:line="360" w:lineRule="auto"/>
        <w:rPr>
          <w:rFonts w:ascii="Times New Roman" w:hAnsi="Times New Roman" w:cs="Times New Roman"/>
          <w:bCs/>
          <w:sz w:val="24"/>
          <w:szCs w:val="24"/>
          <w:highlight w:val="none"/>
        </w:rPr>
      </w:pPr>
      <w:r>
        <w:rPr>
          <w:rFonts w:ascii="Times New Roman" w:hAnsi="Times New Roman" w:cs="Times New Roman"/>
          <w:sz w:val="24"/>
          <w:szCs w:val="24"/>
          <w:highlight w:val="none"/>
        </w:rPr>
        <w:t xml:space="preserve">23.2</w:t>
      </w:r>
      <w:r>
        <w:rPr>
          <w:rFonts w:ascii="Times New Roman" w:hAnsi="Times New Roman" w:cs="Times New Roman"/>
          <w:bCs/>
          <w:sz w:val="24"/>
          <w:szCs w:val="24"/>
          <w:highlight w:val="none"/>
        </w:rPr>
        <w:t xml:space="preserve">废标条款：</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（1）符合专业条件的供应商或者对招标文件作实质响应的投标人不足三家的；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（2）出现影响采购公正的违法、违规行为的；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（3）因重大变故，采购任务取消的；</w:t>
      </w:r>
      <w:r/>
    </w:p>
    <w:p>
      <w:pPr>
        <w:ind w:left="479"/>
        <w:spacing w:line="360" w:lineRule="auto"/>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（4）</w:t>
      </w:r>
      <w:r>
        <w:rPr>
          <w:rFonts w:ascii="Times New Roman" w:hAnsi="Times New Roman" w:cs="Times New Roman"/>
          <w:sz w:val="24"/>
          <w:szCs w:val="24"/>
          <w:highlight w:val="none"/>
        </w:rPr>
        <w:t xml:space="preserve">评标</w:t>
      </w:r>
      <w:r>
        <w:rPr>
          <w:rFonts w:hint="eastAsia" w:ascii="Times New Roman" w:hAnsi="Times New Roman" w:cs="Times New Roman"/>
          <w:bCs/>
          <w:sz w:val="24"/>
          <w:szCs w:val="24"/>
          <w:highlight w:val="none"/>
        </w:rPr>
        <w:t xml:space="preserve">工作组</w:t>
      </w:r>
      <w:r>
        <w:rPr>
          <w:rFonts w:ascii="Times New Roman" w:hAnsi="Times New Roman" w:cs="Times New Roman"/>
          <w:bCs/>
          <w:sz w:val="24"/>
          <w:szCs w:val="24"/>
          <w:highlight w:val="none"/>
        </w:rPr>
        <w:t xml:space="preserve">认定招标文件存在歧义、重大缺陷导致评审工作无法进行。</w:t>
      </w:r>
      <w:r/>
    </w:p>
    <w:p>
      <w:pPr>
        <w:pStyle w:val="922"/>
        <w:ind w:firstLine="480"/>
        <w:rPr>
          <w:rFonts w:ascii="Times New Roman" w:hAnsi="Times New Roman" w:cs="Times New Roman"/>
          <w:bCs/>
          <w:sz w:val="24"/>
          <w:szCs w:val="24"/>
          <w:highlight w:val="none"/>
        </w:rPr>
      </w:pPr>
      <w:r>
        <w:rPr>
          <w:rFonts w:hint="eastAsia" w:ascii="Times New Roman" w:hAnsi="Times New Roman" w:cs="Times New Roman"/>
          <w:bCs/>
          <w:sz w:val="24"/>
          <w:szCs w:val="24"/>
          <w:highlight w:val="none"/>
        </w:rPr>
        <w:t xml:space="preserve">（5）评标工作组认定投标文件未实质性响应招标文件要求的。</w:t>
      </w:r>
      <w:r/>
    </w:p>
    <w:p>
      <w:pPr>
        <w:pStyle w:val="923"/>
        <w:ind w:left="911" w:hanging="67"/>
        <w:rPr>
          <w:rFonts w:ascii="Times New Roman" w:eastAsia="宋体"/>
          <w:sz w:val="24"/>
          <w:szCs w:val="24"/>
          <w:highlight w:val="none"/>
        </w:rPr>
      </w:pPr>
      <w:r>
        <w:rPr>
          <w:rFonts w:hint="eastAsia" w:ascii="Times New Roman" w:eastAsia="宋体"/>
          <w:sz w:val="24"/>
          <w:szCs w:val="24"/>
          <w:highlight w:val="none"/>
        </w:rPr>
        <w:t xml:space="preserve">在评标期间，通过资格审查或符合性审查的投标人不足3家情形的，比照22.7款执行。</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六、定标</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24、确定中标单位</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24.1</w:t>
      </w:r>
      <w:r>
        <w:rPr>
          <w:rFonts w:hint="eastAsia" w:ascii="Times New Roman" w:hAnsi="Times New Roman" w:cs="Times New Roman"/>
          <w:sz w:val="24"/>
          <w:szCs w:val="24"/>
          <w:highlight w:val="none"/>
        </w:rPr>
        <w:t xml:space="preserve">评标工作组首先对所有合格投标人按评标办法进行打分，根据综合得分，由高到低排列，向采购人推荐中标候选人。本项目分为2个标包，同一投标人可以同时参加2个标包，但只能中标其中1个标包（即“兼投不兼中”）；评审时按照标包号正顺序依次评审，已被推荐为第一中标候选人的供应商，不再推荐为其他标包的中标候选人。采购人应根据评标工作组推荐的中标候选人确定中标人</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24.2中标人名单将在“</w:t>
      </w:r>
      <w:r>
        <w:rPr>
          <w:rFonts w:hint="eastAsia" w:ascii="Times New Roman" w:hAnsi="Times New Roman" w:cs="Times New Roman"/>
          <w:sz w:val="24"/>
          <w:szCs w:val="24"/>
          <w:highlight w:val="none"/>
        </w:rPr>
        <w:t xml:space="preserve">江苏省政府采购网</w:t>
      </w:r>
      <w:r>
        <w:rPr>
          <w:rFonts w:ascii="Times New Roman" w:hAnsi="Times New Roman" w:cs="Times New Roman"/>
          <w:sz w:val="24"/>
          <w:szCs w:val="24"/>
          <w:highlight w:val="none"/>
        </w:rPr>
        <w:t xml:space="preserve">”上进行公示。</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24.3若有充分证据证明，中标人出现下列情况之一的，一经查实，将被取消中标资格：</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（1）提供虚假材料谋取中标的；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（2）与评审专家、采购人或者其他供应商恶意串通的；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（3）向评审专家、采购人行贿或者提供其它不正当利益的；</w:t>
      </w:r>
      <w:r/>
    </w:p>
    <w:p>
      <w:pPr>
        <w:ind w:left="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（4）恶意竞争，投标总报价明显低于其自身合理成本且又无法提供证明的；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（5）不满足本招标文件规定的实质性要求，但在评标过程中又未被评标工作组发现的；</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（6）不符合法律、法规的规定的其它情形。</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24.4有下列情形之一的，视为投标人串通投标，投标无效：</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（1）不同投标人的投标文件由同一单位或者个人编制。</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（2）不同投标人委托同一单位或者个人办理投标事宜。</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（3）不同投标人的投标文件载明的项目管理成员或者联系人员为同一人。</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（4）不同投标人的投标文件异常一致或者投标报价呈规律性差异。</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（5）不同投标人的投标文件相互混装。</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（6）不同投标人的投标保证金从同一单位或者个人的账户转出。</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25、质疑处理</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25.1参加投标供应商认为招标文件、采购过程和采购结果使自己的权益受到损害的，可以在知道或应知其权益受到损害之日起7个工作日内，以书面形式向采购人提出质疑。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（1）对可以质疑的招标文件提出质疑的，为收到招标文件之日或者招标文件公告期限届满之日；</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（2）对采购过程提出质疑的，为各采购程序环节结束之日；</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（3）对中标或者成交结果提出质疑的，为中标或者成交结果公告期限届满之日。</w:t>
      </w:r>
      <w:r/>
    </w:p>
    <w:p>
      <w:pPr>
        <w:ind w:firstLine="472"/>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25.2质疑必须以参加投标供应商法人代表或授权代表（投标文件中所确定的）送达的方式提交，未按上述要求提交的质疑函（含传真、电子邮件等）采购人有权不予受理。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25.3未参加投标的供应商或在投标活动中本身权益未受到损害或从投标活动中受益的供应商所提出的质疑也不予受理。</w:t>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25.5采购人将在收到投标供应商的书面质疑后在规定时间内作出答复，但答复的内容不得涉及商业秘密。</w:t>
      </w:r>
      <w:r/>
    </w:p>
    <w:p>
      <w:pPr>
        <w:ind w:firstLine="470"/>
        <w:spacing w:line="360" w:lineRule="auto"/>
        <w:rPr>
          <w:rFonts w:ascii="Times New Roman" w:hAnsi="Times New Roman" w:cs="Times New Roman"/>
          <w:sz w:val="24"/>
          <w:szCs w:val="24"/>
          <w:highlight w:val="none"/>
        </w:rPr>
      </w:pPr>
      <w:r>
        <w:rPr>
          <w:rFonts w:ascii="Times New Roman" w:hAnsi="Times New Roman" w:cs="Times New Roman"/>
          <w:b/>
          <w:sz w:val="24"/>
          <w:szCs w:val="24"/>
          <w:highlight w:val="none"/>
        </w:rPr>
        <w:t xml:space="preserve">26、中标通知书</w:t>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26.l中标结果质疑期满后，采购人将向中标供应商发出中标通知书。</w:t>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26.3中标通知书将是合同的一个组成部分。对采购人和中标供应商均具有法律效力。中标通知书发出后，采购人改变中标结果的，或者中标供应商放弃中标项目的，应当依法承担法律责任。</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七、授予合同</w:t>
      </w:r>
      <w:r/>
    </w:p>
    <w:p>
      <w:pPr>
        <w:ind w:firstLine="482"/>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27、签订合同</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27.1中标人在</w:t>
      </w:r>
      <w:r>
        <w:rPr>
          <w:rFonts w:ascii="Times New Roman" w:hAnsi="Times New Roman" w:cs="Times New Roman"/>
          <w:sz w:val="24"/>
          <w:szCs w:val="24"/>
          <w:highlight w:val="none"/>
        </w:rPr>
        <w:t xml:space="preserve">中标通知书发出之日</w:t>
      </w:r>
      <w:r>
        <w:rPr>
          <w:rFonts w:ascii="Times New Roman" w:hAnsi="Times New Roman" w:cs="Times New Roman"/>
          <w:sz w:val="24"/>
          <w:szCs w:val="24"/>
          <w:highlight w:val="none"/>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27.2招标文件、中标人的投标文件及澄清文件等，均为签订合同的依据。</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27.3签订合同后，中标人不得将相关服务进行全部或部分转包。未经采购人同意，中标人也不得采用分包的形式履行合同，否则采购人有权终止合同，中标人的履约保证金将不予退还。转包或分包造成采购人损失的，中标人应承担相应赔偿责任。</w:t>
      </w:r>
      <w:r/>
    </w:p>
    <w:p>
      <w:pPr>
        <w:pStyle w:val="922"/>
        <w:ind w:firstLine="241"/>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八、其他</w:t>
      </w:r>
      <w:r/>
    </w:p>
    <w:p>
      <w:pPr>
        <w:ind w:firstLine="482"/>
        <w:spacing w:line="360" w:lineRule="auto"/>
        <w:rPr>
          <w:rFonts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28、踏勘现场</w:t>
      </w:r>
      <w:r/>
    </w:p>
    <w:p>
      <w:pPr>
        <w:ind w:firstLine="480"/>
        <w:jc w:val="left"/>
        <w:spacing w:line="360" w:lineRule="auto"/>
        <w:widowControl/>
        <w:rPr>
          <w:rFonts w:ascii="Times New Roman" w:hAnsi="Times New Roman" w:cs="Times New Roman"/>
          <w:highlight w:val="none"/>
        </w:rPr>
      </w:pPr>
      <w:r>
        <w:rPr>
          <w:rFonts w:hint="eastAsia" w:ascii="Times New Roman" w:hAnsi="Times New Roman" w:cs="Times New Roman"/>
          <w:sz w:val="24"/>
          <w:szCs w:val="28"/>
          <w:highlight w:val="none"/>
        </w:rPr>
        <w:t xml:space="preserve">28.1招标人不组织投标人踏勘现场。</w:t>
      </w:r>
      <w:r/>
    </w:p>
    <w:p>
      <w:pPr>
        <w:jc w:val="left"/>
        <w:spacing w:line="360" w:lineRule="auto"/>
        <w:widowControl/>
        <w:rPr>
          <w:rFonts w:ascii="Times New Roman" w:hAnsi="Times New Roman" w:cs="Times New Roman"/>
          <w:highlight w:val="none"/>
        </w:rPr>
      </w:pPr>
      <w:r>
        <w:rPr>
          <w:rFonts w:ascii="Times New Roman" w:hAnsi="Times New Roman" w:cs="Times New Roman"/>
          <w:highlight w:val="none"/>
        </w:rPr>
      </w:r>
      <w:r/>
    </w:p>
    <w:p>
      <w:pPr>
        <w:jc w:val="left"/>
        <w:widowControl/>
        <w:rPr>
          <w:rFonts w:ascii="黑体" w:eastAsia="黑体" w:cs="黑体"/>
          <w:sz w:val="36"/>
          <w:szCs w:val="36"/>
          <w:highlight w:val="none"/>
          <w:lang w:val="zh-TW" w:eastAsia="zh-TW"/>
        </w:rPr>
      </w:pPr>
      <w:r>
        <w:rPr>
          <w:rFonts w:ascii="黑体" w:eastAsia="黑体" w:cs="黑体"/>
          <w:sz w:val="36"/>
          <w:szCs w:val="36"/>
          <w:highlight w:val="none"/>
          <w:lang w:val="zh-TW" w:eastAsia="zh-TW"/>
        </w:rPr>
        <w:br w:type="page" w:clear="all"/>
      </w:r>
      <w:r/>
    </w:p>
    <w:p>
      <w:pPr>
        <w:jc w:val="center"/>
        <w:keepLines/>
        <w:keepNext/>
        <w:spacing w:before="240" w:after="240" w:line="360" w:lineRule="auto"/>
        <w:rPr>
          <w:rFonts w:ascii="黑体" w:eastAsia="黑体" w:cs="黑体"/>
          <w:sz w:val="36"/>
          <w:szCs w:val="36"/>
          <w:highlight w:val="none"/>
        </w:rPr>
        <w:outlineLvl w:val="0"/>
      </w:pPr>
      <w:r/>
      <w:bookmarkStart w:id="8" w:name="_Toc28020"/>
      <w:r>
        <w:rPr>
          <w:rFonts w:ascii="黑体" w:eastAsia="黑体" w:cs="黑体"/>
          <w:sz w:val="36"/>
          <w:szCs w:val="36"/>
          <w:highlight w:val="none"/>
          <w:lang w:val="zh-TW" w:eastAsia="zh-TW"/>
        </w:rPr>
        <w:t xml:space="preserve">第</w:t>
      </w:r>
      <w:r>
        <w:rPr>
          <w:rFonts w:hint="eastAsia" w:ascii="黑体" w:eastAsia="黑体" w:cs="黑体"/>
          <w:sz w:val="36"/>
          <w:szCs w:val="36"/>
          <w:highlight w:val="none"/>
          <w:lang w:val="zh-TW"/>
        </w:rPr>
        <w:t xml:space="preserve">三</w:t>
      </w:r>
      <w:r>
        <w:rPr>
          <w:rFonts w:ascii="黑体" w:eastAsia="黑体" w:cs="黑体"/>
          <w:sz w:val="36"/>
          <w:szCs w:val="36"/>
          <w:highlight w:val="none"/>
          <w:lang w:val="zh-TW" w:eastAsia="zh-TW"/>
        </w:rPr>
        <w:t xml:space="preserve">章  </w:t>
      </w:r>
      <w:r>
        <w:rPr>
          <w:rFonts w:hint="eastAsia" w:ascii="黑体" w:eastAsia="黑体" w:cs="黑体"/>
          <w:sz w:val="36"/>
          <w:szCs w:val="36"/>
          <w:highlight w:val="none"/>
          <w:lang w:val="zh-TW" w:eastAsia="zh-TW"/>
        </w:rPr>
        <w:t xml:space="preserve">合同条款及格式</w:t>
      </w:r>
      <w:bookmarkEnd w:id="8"/>
      <w:r/>
      <w:r/>
    </w:p>
    <w:p>
      <w:pPr>
        <w:ind w:firstLine="480"/>
        <w:jc w:val="left"/>
        <w:spacing w:line="400" w:lineRule="exact"/>
        <w:rPr>
          <w:rFonts w:ascii="宋体" w:cs="宋体"/>
          <w:sz w:val="24"/>
          <w:szCs w:val="24"/>
          <w:highlight w:val="none"/>
        </w:rPr>
      </w:pPr>
      <w:r/>
      <w:bookmarkStart w:id="9" w:name="_Toc20823315"/>
      <w:r/>
      <w:bookmarkStart w:id="10" w:name="_Toc16938559"/>
      <w:r/>
      <w:bookmarkStart w:id="11" w:name="_Toc513029243"/>
      <w:r>
        <w:rPr>
          <w:rFonts w:hint="eastAsia" w:ascii="宋体" w:cs="宋体"/>
          <w:sz w:val="24"/>
          <w:szCs w:val="24"/>
          <w:highlight w:val="none"/>
        </w:rPr>
        <w:t xml:space="preserve">以下为中标后签订本项目合同的通用条款，中标人不得提出实质性的修改，关于专用条款将由项目使用单位与中标人结合本项目具体情况协商后签订。</w:t>
      </w:r>
      <w:bookmarkEnd w:id="9"/>
      <w:r/>
      <w:bookmarkEnd w:id="10"/>
      <w:r/>
      <w:bookmarkEnd w:id="11"/>
      <w:r/>
      <w:r/>
    </w:p>
    <w:p>
      <w:pPr>
        <w:rPr>
          <w:highlight w:val="none"/>
        </w:rPr>
      </w:pPr>
      <w:r>
        <w:rPr>
          <w:highlight w:val="none"/>
        </w:rPr>
      </w:r>
      <w:r/>
    </w:p>
    <w:p>
      <w:pPr>
        <w:jc w:val="center"/>
        <w:spacing w:before="145" w:after="145"/>
        <w:rPr>
          <w:rFonts w:hint="eastAsia" w:asciiTheme="minorEastAsia" w:hAnsiTheme="minorEastAsia" w:eastAsiaTheme="minorEastAsia" w:cstheme="minorEastAsia"/>
          <w:b/>
          <w:bCs/>
          <w:sz w:val="30"/>
          <w:szCs w:val="20"/>
          <w:highlight w:val="none"/>
        </w:rPr>
        <w:outlineLvl w:val="0"/>
      </w:pPr>
      <w:r>
        <w:rPr>
          <w:rFonts w:hint="eastAsia" w:asciiTheme="minorEastAsia" w:hAnsiTheme="minorEastAsia" w:eastAsiaTheme="minorEastAsia" w:cstheme="minorEastAsia"/>
          <w:b/>
          <w:sz w:val="30"/>
          <w:highlight w:val="none"/>
        </w:rPr>
        <w:t xml:space="preserve">江苏省政府采购合同（服务）（合同编号）</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项目名称：江苏省医疗保障信息平台统一应用系统运行维护项目（2026）</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项目编号：</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甲方：（买方）江苏省医疗保障局</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乙方：（卖方）</w:t>
      </w:r>
      <w:r>
        <w:rPr>
          <w:rFonts w:hint="eastAsia" w:asciiTheme="minorEastAsia" w:hAnsiTheme="minorEastAsia" w:eastAsiaTheme="minorEastAsia" w:cstheme="minorEastAsia"/>
          <w:sz w:val="28"/>
          <w:szCs w:val="28"/>
          <w:highlight w:val="none"/>
          <w:u w:val="single"/>
        </w:rPr>
        <w:t xml:space="preserve">                    </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甲、乙双方根据江苏省医疗保障信息平台统一应用系统运行维护项目（2026）公开招标的结果，签署本合同。</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一、合同内容</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1.1 标的名称：江苏省医疗保障信息平台统一应用系统运行维护项目（2026）</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1.2 标的质量：按招标文件第四章“采购需求”要求，若无特殊说明，则按国家有关部门最新颁布的标准及规范为准。</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1.3 标的数量（规模）：1套</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1.4 服务履行期限</w:t>
      </w:r>
      <w:r>
        <w:rPr>
          <w:rFonts w:hint="eastAsia" w:asciiTheme="minorEastAsia" w:hAnsiTheme="minorEastAsia" w:eastAsiaTheme="minorEastAsia" w:cstheme="minorEastAsia"/>
          <w:sz w:val="28"/>
          <w:szCs w:val="28"/>
          <w:highlight w:val="none"/>
        </w:rPr>
        <w:t xml:space="preserve">：2026年月日至2028年 月  日。</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1.5 履行地点：甲方指定</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1.6 服务内容及履行方式：甲方指定，并且乙方应按照招投标文件的要求提供运维服务，包括但不限于招投标文件采购需求中关于运维服务范围、运维服务内容及要求、运维服务项目归档资料清单要求、运维人员要求、服务响应时间及应急处置要求、项目验收及综合考评评价要求、保密要求、违约责任等要求内容。</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二、合同金额</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2.1 本合同金额为人民币</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元（含税），大写</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圆（含税）。</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2.2 本合同金额包含乙方开展本项目所需的一切费用，乙方无权要求甲方支付任何其他费用。</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2.3 本合同执行期间总价款不变。</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三、技术资料</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3.1 乙方应按照招投标文件规定的时间及内容向甲方提供服务（包含与服务相关的货物）的有关技术资料。</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四、知识产权</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4.1 乙方应保证甲方在使用、接受本合同服务（包含与服务相关的货物）或其任何一部分时不受第三方提出侵犯其专利权、版权、商标权和工业设计权等知识产权的起诉。一旦出现侵权，乙方应承担全部责任，同时乙方应按合同总价款的30%向甲方支付违约金，如果因此造成甲方损失的，乙方应另行赔偿损失。</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4.2 若涉及项目功能开发，建设完成后，乙方应保证将该项目功能所有权完整、无瑕疵转让给甲方，否则乙方应按合同总价款的30%向甲方支付违约金，如果因此造成甲方损失的，乙方应另行赔偿损失。乙方应保证甲方在使用、接受本合同服务（包含与服务相关的货物）或其任何一部分时不受第三方提出侵犯其专利权、版权、商标权和工业设计权等知识产权的起诉，否则乙方应承担全部责任，同时乙方应按合同总价款的30%向甲方支付违约金，如果因此造成甲方损失的，乙方应另行赔偿损失。</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4.3 乙方交付给甲方项目所涉及的知识产权内容均归属甲方所有，乙方不得自行使用、出卖给第三人或未经甲方同意允许第三人使用，否则乙方应承担全部责任，同时乙方应按合同总价款的30%向甲方支付违约金，如果因此造成甲方损失的，乙方应另行赔偿损失。</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4.4 本项目除第三方产品外所有工作文件、交付品文档、定制软件、应用系统软件、数据资源及其他附属产品的知识产权、本项目实施过程中所收集、产生的所有与本项目相关文档、源代码、资料，包括文字、图片、表格、数字等各种形式所属权均属于甲方所有，未经甲方许可，乙方不得将其提供给第三方或用于第三方项目，否则乙方应按合同总价款的30%向甲方支付违约金，如果因此造成甲方损失的，乙方应另行赔偿损失。</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五、产权担保</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5.1 乙方保证所交付的服务（包含与服务相关的货物）的所有权完全属于乙方且无任何抵押、查封等产权瑕疵。</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5.2 如果因乙方交付的服务权属有瑕疵导致合同中止履行或造成甲方损失的，乙方应支付相当于合同总价款30%的违约金，如果因此造成甲方损失的，乙方应另行赔偿实际损失。</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5.3 如果因乙方交付的服务权属有瑕疵导致合同无法继续履行的，甲方有权解除合同并扣除履约保证金，同时乙方应向甲方返还甲方已经支付的全部款项，并按合同总价款30%向甲方支付违约金，如果因此造成甲方损失的，乙方应另行赔偿损失。</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六、履约保证金</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6.1 本项目履约保证金为合同总价的5%，</w:t>
      </w:r>
      <w:bookmarkStart w:id="12" w:name="_Hlk200004316"/>
      <w:r>
        <w:rPr>
          <w:rFonts w:hint="eastAsia" w:asciiTheme="minorEastAsia" w:hAnsiTheme="minorEastAsia" w:eastAsiaTheme="minorEastAsia" w:cstheme="minorEastAsia"/>
          <w:sz w:val="28"/>
          <w:szCs w:val="28"/>
          <w:highlight w:val="none"/>
        </w:rPr>
        <w:t xml:space="preserve">乙方以电子履约保函（保险）的形式提交给甲方</w:t>
      </w:r>
      <w:bookmarkEnd w:id="12"/>
      <w:r>
        <w:rPr>
          <w:rFonts w:hint="eastAsia" w:asciiTheme="minorEastAsia" w:hAnsiTheme="minorEastAsia" w:eastAsiaTheme="minorEastAsia" w:cstheme="minorEastAsia"/>
          <w:sz w:val="28"/>
          <w:szCs w:val="28"/>
          <w:highlight w:val="none"/>
        </w:rPr>
        <w:t xml:space="preserve">，乙方未缴纳履约保证金的，甲方有权拒绝签订书面合同，并不承担任何法律责任。</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6.2 履约保证金的有效期为截至项目服务期满之日止，甲方应在服务期满后7个工作日内且扣除乙方应支付的违约金或赔偿金等后将履约保证金无息退还给乙方。乙方因自身原因未能完全履行合同导致合同终止或解除的，履约保证金不予退回。</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6.3 如乙方未能履行合同约定的义务且拒绝支付违约金或赔偿金，甲方有权直接从履约保证金中扣除相应违约金或赔偿金。履约保证金不足以支付违约金或赔偿金的，乙方应另行支付，并应在甲方书面通知后5个工作日内重新补足履约保证金。</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6.4 履约保证金账号信息：</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名称：</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纳税人识别号：</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地址：</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电话：</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开户行：</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账号：</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七、合同转包或分包</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7.1 乙方不得将合同标的转包给他人履行。</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7.2 乙方不得将合同标的分包给他人履行。</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7.3 如果乙方未经甲方书面同意，将合同项下的权利义务全部或部分转让给第三方的，甲方有权解除合同并扣除履约保证金，乙方应返还甲方已经支付的全部款项，并向甲方支付合同总价款30%的解除合同违约金，如果因此造成甲方损失的，乙方应另行赔偿损失。</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八、合同款项支付</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8.1签订合同且本项目所需的全部运维人员进场后，甲方向乙方支付合同总价款的30%；</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8.2</w:t>
      </w:r>
      <w:r>
        <w:rPr>
          <w:rFonts w:hint="eastAsia" w:asciiTheme="minorEastAsia" w:hAnsiTheme="minorEastAsia" w:eastAsiaTheme="minorEastAsia" w:cstheme="minorEastAsia"/>
          <w:bCs/>
          <w:sz w:val="28"/>
          <w:szCs w:val="28"/>
          <w:highlight w:val="none"/>
        </w:rPr>
        <w:t xml:space="preserve">签订合同后服务满12个月，乙方需向甲方提供12个月内的项目服务报告和文档，甲方应成立验收组对服务内容、质量和效果开展阶段性验收，并根据项目绩效考核评分细则形成考核评价分数。</w:t>
      </w:r>
      <w:r>
        <w:rPr>
          <w:rFonts w:hint="eastAsia" w:asciiTheme="minorEastAsia" w:hAnsiTheme="minorEastAsia" w:eastAsiaTheme="minorEastAsia" w:cstheme="minorEastAsia"/>
          <w:bCs/>
          <w:sz w:val="28"/>
          <w:szCs w:val="28"/>
          <w:highlight w:val="none"/>
        </w:rPr>
        <w:t xml:space="preserve">甲方应在乙方考核评价分数出具后支付该阶段的合同价</w:t>
      </w:r>
      <w:r>
        <w:rPr>
          <w:rFonts w:hint="eastAsia" w:asciiTheme="minorEastAsia" w:hAnsiTheme="minorEastAsia" w:eastAsiaTheme="minorEastAsia" w:cstheme="minorEastAsia"/>
          <w:sz w:val="28"/>
          <w:szCs w:val="28"/>
          <w:highlight w:val="none"/>
        </w:rPr>
        <w:t xml:space="preserve">款，如果乙方考核评价分数为100分的，甲方应自乙方考核评价分数出具后支付合同总价款的30%，如果乙方考核评价分数不足100分的，甲方有权按约在合同总价款30%的基础上减值支付合同价款且扣除的合同价款后期不再支付，乙方不得持任何异议，具体支付方式如下：</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考核评价得分在90分（含）以上，且乙方对存在问题通过改进和完善完全达到合同约定标准，甲方应自乙方将全部问题改进和完善且得到甲方确认后支付合同总价款的30%，如果乙方未能将全部问题改进和完善的，甲方有权减值支付，甲方有权根据实际情况自主决定减值金额；</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考核评价得分在80分（含）至90分之间，甲方有权减值支付该节点的合同款项，减值金额原则上为（90－考核评价得分）×1%×合同总价，但甲方有权视乙方对其存在问题整改情况合理调整减值金额，乙方应予接受；</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考核评价得分在75分（含）至80分之间，甲方有权减值支付该节点的合同款项，减值金额原则上为〔（80－考核评价得分）×2%+10%〕×合同总价，但甲方有权视乙方对其存在问题整改情况合理调整减值金额，乙方应予接受；</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考核评价得分在75分以下，该节点合同款项原则上不予支付，甲方有权选择解除合同或继续履行合同，如果甲方选择继续履行合同的，乙方应在甲方要求的期限内进行整改，如果甲方在乙方整改后重新考核评价在75分（含）以上的，甲方有权减值支付该节点合同款项，但减值金额由甲方根据实际情况自行确定，乙方应予接受。</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8.3</w:t>
      </w:r>
      <w:r>
        <w:rPr>
          <w:rFonts w:hint="eastAsia" w:asciiTheme="minorEastAsia" w:hAnsiTheme="minorEastAsia" w:eastAsiaTheme="minorEastAsia" w:cstheme="minorEastAsia"/>
          <w:bCs/>
          <w:sz w:val="28"/>
          <w:szCs w:val="28"/>
          <w:highlight w:val="none"/>
        </w:rPr>
        <w:t xml:space="preserve">服务期满后，乙方需向甲方提供完整的本项目维护报告和文档，甲方应成立验收组对服务内容、质量和效果开展最终验收，并根据项目绩效考核评分细则形成考核评价分数。</w:t>
      </w:r>
      <w:r>
        <w:rPr>
          <w:rFonts w:hint="eastAsia" w:asciiTheme="minorEastAsia" w:hAnsiTheme="minorEastAsia" w:eastAsiaTheme="minorEastAsia" w:cstheme="minorEastAsia"/>
          <w:bCs/>
          <w:sz w:val="28"/>
          <w:szCs w:val="28"/>
          <w:highlight w:val="none"/>
        </w:rPr>
        <w:t xml:space="preserve">甲方应在乙方考核评价分数出具后支付该阶段的合同价款，</w:t>
      </w:r>
      <w:r>
        <w:rPr>
          <w:rFonts w:hint="eastAsia" w:asciiTheme="minorEastAsia" w:hAnsiTheme="minorEastAsia" w:eastAsiaTheme="minorEastAsia" w:cstheme="minorEastAsia"/>
          <w:sz w:val="28"/>
          <w:szCs w:val="28"/>
          <w:highlight w:val="none"/>
        </w:rPr>
        <w:t xml:space="preserve">如果乙方考核评价分数为100分的，甲方应自乙方考核评价分数出具后支付合同总价款的40%，如果乙方考核评价分数不足100分的，甲方有权按约在合同总价款40%的基础上减值支付合同价款且扣除的合同价款后期不再支付，乙方不得持任何异议，具体支付方式如下：</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考核评价得分在90分（含）以上，且乙方对存在问题通过改进和完善完全达到合同约定标准，甲方应自乙方将全部问题改进和完善且得到甲方确认后支付合同总价款的40%，如果乙方未能将全部问题改进和完善的，甲方有权减值支付，甲方有权根据实际情况自主决定减值金额；</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考核评价得分在80分（含）至90分之间，甲方有权减值支付该节点的合同款项，减值金额原则上为（90－考核评价得分）×1%×合同总价，但甲方有权视乙方对其存在问题整改情况合理调整减值金额，乙方应予接受；</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考核评价得分在75分（含）至80分之间，甲方有权减值支付该节点的合同款项，减值金额原则上为〔（80－考核评价得分）×2%+10%〕×合同总价，但甲方有权视乙方对其存在问题整改情况合理调整减值金额，乙方应予接受；</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考核评价得分在75分以下，甲方有权选择解除合同或继续履行合同，如果甲方选择继续履行合同的，乙方应在甲方要求的期限内进行整改，如果甲方在乙方整改后重新考核评价在75分（含）以上的，甲方有权减值支付该节点合同款项，但减值金额由甲方根据实际情况自行确定，乙方应予接受。</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8.4每次付款前，乙方应提前向甲方开具等额增值税发票，甲方在收到乙方发票后1个月内支付相应款项，甲方未收到开票或乙方开具发票不合格的，有权拒绝付款。</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九、税费</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9.1 本合同执行中产生的相关一切税费均由乙方负担。</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十、项目验收及综合考核评价</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10.1甲方有权组织验收工作，包括签订合同后服务满12个月的阶段性验收以及服务期满后的最终验收，甲方在验收的同时可以根据招投标文件及合同的约定进行综合考核评价。</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10.2 甲方在每次组织履约验收前，将根据项目特点制定验收方案，明确履约验收的时间、方式、程序等内容，并可根据项目特点对服务期内的服务实施情况进行分期综合考核，对综合考核情况及服务效果进行验收。乙方应根据验收方案内容做好相应配合工作。</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10.3 对于实际使用人和甲方分离的项目，甲方有权邀请实际使用人参与验收和综合考核评价。</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10.4 如有必要，甲方有权邀请参加江苏省医疗保障信息平台建设的其他承建厂商或第三方专业机构及专家参与验收和综合考核评价。</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10.5乙方应在每次验收时间到达后主动向甲方提供相应服务期内的项目维护报告和文档，甲方在收到上述材料后五个工作日内成立验收小组，并按照招投标文件及合同约定对乙方的履约情况进行验收。验收时，甲方有权按照招投标文件及合同约定对每一项技术、服务、安全标准的履约情况进行确认。</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10.6 甲方验收小组应于每次验收结束后3个工作日内出具验收书，列明各项标准的验收情况及项目总体评价，由验收双方共同签署。如甲方未在上述期内验收且未就乙方服务质量提出书面异议，视为验收合格。</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10.7 验收结果与招投标文件及合同约定的合同价款支付条件挂钩，履约验收的各项资料存档备查。验收合格的项目，甲方根据合同的约定及时向乙方支付合同款项。验收不合格的项目，乙方应在甲方要求的期限内进行整改。</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10.8 乙方在履约过程中出现政府采购法律法规规定的违法违规情形的，甲方将及时报告本级财政部门。</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十一、违约责任</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11.1 如果因乙方原因，导致医保信息平台运行故障不能正常运行或医保数据泄露，只要乙方一旦发生上述情形且不管持续时间长短，乙方应支付合同总价款10%的违约金，违约金不足以弥补损失的（包括给甲方及其他第三人造成的损失），甲方有权要求乙方按照实际损失赔偿；乙方在服务期内连续两次发生一级故障或引发重大社会舆情的严重网络安全事件的，甲方有权解除合同，乙方应向甲方支付合同总价款30%的解除合同违约金，违约金不足以弥补损失的，甲方有权要求乙方按照实际损失赔偿。</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11.2 根据第8.2第（4）款及8.3条第（4）款约定，乙方考核评价得分在75分以下，且甲方直接解除合同的，乙方应向甲方支付合同总价款30%的解除合同违约金，违约金不足以弥补损失的，甲方有权要求乙方按照实际损失赔偿。</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11.3 如果乙方未足额提供运维人员，或未经甲方许可更换运维人员，且在甲方发出书面整改通知之后10个工作日内未完成整改的，甲方有权解除合同，乙方应向甲方支付合同总价款30%的解除合同违约金，违约金不足以弥补损失的，甲方有权要求乙方按照实际损失赔偿。</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11.4 合同履行期限内，任何一方不得随意终止或解除合同。一方需要终止或解除合同的，应提前30天通知对方，并获得对方书面同意。如果一方未经另一方允许擅自终止或解除合同，违约方应向守约方支付合同总价款30%的解除合同违约金，违约金不足以弥补损失的，守约方有权要求违约方按照实际损失赔偿。</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11.5合同履行期内，除本合同约定外，乙方发生其他违反招投标文件、合同约定的情形的，每发生一次，乙方应支付合同总价款5%的违约金，违约金不足以弥补损失的，甲方有权要求乙方按照实际损失赔偿；乙方累计发生超过三次的，甲方有权解除合同，乙方应向甲方支付合同总价款30%的解除合同违约金，违约金不足以弥补损失的，甲方有权要求乙方按照实际损失赔偿。</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11.6 如果乙方未经甲方书面同意，将合同项下的权利义务全部或部分转让给第三方的，甲方有权解除合同，乙方应向甲方支付合同总价款30%的解除合同违约金，违约金不足以弥补损失的，甲方有权要求乙方按照实际损失赔偿。</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11.7 乙方在提供服务时，如果造成甲方财产、甲方人员人身财产损失的，由乙方负责赔偿。</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11.8 乙方在提供服务时，应对自身人员的安全负责，乙方人员发生的人身财产损失与甲方无关。</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11.9 如果因乙方原因（包括但不限于乙方提供的服务不当、乙方违约等）造成第三人人身财产损失的，乙方除按本合同约定向甲方支付违约赔偿金外，还应赔偿第三人因此造成的损失。</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11.10 因一方违约产生的费用，包括但不限于律师费、差旅费、诉讼费、保全费、执行费、诉讼财产保全责任险费、执行费等，由败诉方全额承担。</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十二、保密责任</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12.1 双方确认本项目中所有内部资料、技术文档、开发源代码、系统部署资料、系统数据（包含原始数据和衍生数据）全部为甲方所有，全部列入保密范围，乙方不得未经甲方许可的情况下复制、加工、共享、应用和提供给第三方。</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12.2 乙方必须与甲方签订保密协议并严格遵守。乙方提供的全部项目实施和运维人员必须通过安全背景审查并签订保密承诺书，承诺内容需得到甲方认可，并与保密协议一并提交给甲方。</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12.3 如果乙方或乙方聘用、委派的人员违反双方约定的保密责任的，乙方应按合同总价款的30%支付违约金，如果因此造成甲方损失的，乙方应另行赔偿损失，包括但不限于甲方因此支付的律师费、差旅费、诉讼费、保全费、诉讼财产保全责任险费、执行费等。</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12.4 本条约定的乙方保密责任，不因合同终止或解除而予以免除，在未经甲方书面免除乙方保密责任的情况下，乙方应当一直遵守本条款的保密责任。</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十三、不可抗力事件处理</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13.1 在合同有效期内，任何一方因不可抗力事件导致不能履行合同，则合同履行期可延长，其延长期与不可抗力影响期相同。</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13.2 不可抗力事件发生后，应立即通知对方，并寄送有关权威机构出具的证明。</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13.3 不可抗力事件延续120天以上，双方应通过友好协商，确定是否继续履行合同。</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十四、解决争议的方法</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14.1 双方在签订、履行合同中所发生的一切争议，应通过友好协商解决。如协商不成，由甲方住所地人民法院管辖。</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十五、合同生效及其它</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15.1</w:t>
      </w:r>
      <w:r>
        <w:rPr>
          <w:rFonts w:hint="eastAsia" w:asciiTheme="minorEastAsia" w:hAnsiTheme="minorEastAsia" w:eastAsiaTheme="minorEastAsia" w:cstheme="minorEastAsia"/>
          <w:sz w:val="28"/>
          <w:szCs w:val="28"/>
          <w:highlight w:val="none"/>
        </w:rPr>
        <w:t xml:space="preserve"> 合同经双方法定代表人或授权委托代表人签字并加盖单位公章后生效。</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15.2</w:t>
      </w:r>
      <w:r>
        <w:rPr>
          <w:rFonts w:hint="eastAsia" w:asciiTheme="minorEastAsia" w:hAnsiTheme="minorEastAsia" w:eastAsiaTheme="minorEastAsia" w:cstheme="minorEastAsia"/>
          <w:sz w:val="28"/>
          <w:szCs w:val="28"/>
          <w:highlight w:val="none"/>
        </w:rPr>
        <w:t xml:space="preserve"> 本合同未尽事宜，遵照中华人民共和国现行法律法规有关条文执行。</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15.3</w:t>
      </w:r>
      <w:r>
        <w:rPr>
          <w:rFonts w:hint="eastAsia" w:asciiTheme="minorEastAsia" w:hAnsiTheme="minorEastAsia" w:eastAsiaTheme="minorEastAsia" w:cstheme="minorEastAsia"/>
          <w:sz w:val="28"/>
          <w:szCs w:val="28"/>
          <w:highlight w:val="none"/>
        </w:rPr>
        <w:t xml:space="preserve"> 本合同正本一式肆份，具有同等法律效力，甲方叁份，乙方壹份。</w:t>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firstLine="560"/>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甲方：江苏省医疗保障局           乙方：</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地址：南京市秦淮区建邺路168号   地址：</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法定代表人或授权代表：           法定代表人或授权代表：</w:t>
      </w:r>
      <w:r/>
    </w:p>
    <w:p>
      <w:pPr>
        <w:ind w:firstLine="552"/>
        <w:spacing w:line="56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联系电话：                       联系电话：</w:t>
      </w:r>
      <w:r/>
    </w:p>
    <w:p>
      <w:pPr>
        <w:ind w:firstLine="552"/>
        <w:spacing w:line="56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8"/>
          <w:szCs w:val="28"/>
          <w:highlight w:val="none"/>
        </w:rPr>
        <w:t xml:space="preserve">签订日期：      年    月   日</w:t>
      </w:r>
      <w:r/>
    </w:p>
    <w:p>
      <w:pPr>
        <w:jc w:val="center"/>
        <w:rPr>
          <w:rFonts w:hint="eastAsia" w:asciiTheme="minorEastAsia" w:hAnsiTheme="minorEastAsia" w:eastAsiaTheme="minorEastAsia" w:cstheme="minorEastAsia"/>
          <w:sz w:val="44"/>
          <w:szCs w:val="44"/>
          <w:highlight w:val="none"/>
        </w:rPr>
      </w:pPr>
      <w:r>
        <w:rPr>
          <w:rFonts w:hint="eastAsia" w:asciiTheme="minorEastAsia" w:hAnsiTheme="minorEastAsia" w:eastAsiaTheme="minorEastAsia" w:cstheme="minorEastAsia"/>
          <w:sz w:val="44"/>
          <w:szCs w:val="44"/>
          <w:highlight w:val="none"/>
        </w:rPr>
      </w:r>
      <w:r/>
    </w:p>
    <w:p>
      <w:pPr>
        <w:rPr>
          <w:rFonts w:hint="eastAsia" w:asciiTheme="minorEastAsia" w:hAnsiTheme="minorEastAsia" w:eastAsiaTheme="minorEastAsia" w:cstheme="minorEastAsia"/>
          <w:sz w:val="36"/>
          <w:szCs w:val="36"/>
          <w:highlight w:val="none"/>
          <w:lang w:val="zh-TW" w:eastAsia="zh-TW"/>
        </w:rPr>
        <w:sectPr>
          <w:footerReference w:type="default" r:id="rId12"/>
          <w:footnotePr/>
          <w:endnotePr/>
          <w:type w:val="nextPage"/>
          <w:pgSz w:w="11907" w:h="16840" w:orient="portrait"/>
          <w:pgMar w:top="1134" w:right="1134" w:bottom="1134" w:left="1134" w:header="851" w:footer="992" w:gutter="0"/>
          <w:cols w:num="1" w:sep="0" w:space="720" w:equalWidth="1"/>
          <w:docGrid w:linePitch="360"/>
        </w:sectPr>
      </w:pPr>
      <w:r>
        <w:rPr>
          <w:rFonts w:hint="eastAsia" w:asciiTheme="minorEastAsia" w:hAnsiTheme="minorEastAsia" w:eastAsiaTheme="minorEastAsia" w:cstheme="minorEastAsia"/>
          <w:sz w:val="36"/>
          <w:szCs w:val="36"/>
          <w:highlight w:val="none"/>
          <w:lang w:val="zh-TW" w:eastAsia="zh-TW"/>
        </w:rPr>
      </w:r>
      <w:r/>
    </w:p>
    <w:p>
      <w:pPr>
        <w:numPr>
          <w:ilvl w:val="0"/>
          <w:numId w:val="1"/>
        </w:numPr>
        <w:jc w:val="center"/>
        <w:keepLines/>
        <w:keepNext/>
        <w:spacing w:before="240" w:after="240" w:line="360" w:lineRule="auto"/>
        <w:rPr>
          <w:rFonts w:ascii="黑体" w:eastAsia="黑体" w:cs="黑体"/>
          <w:sz w:val="36"/>
          <w:szCs w:val="36"/>
          <w:highlight w:val="none"/>
          <w:lang w:val="zh-TW" w:eastAsia="zh-TW"/>
        </w:rPr>
        <w:outlineLvl w:val="0"/>
      </w:pPr>
      <w:r>
        <w:rPr>
          <w:rFonts w:hint="eastAsia" w:ascii="黑体" w:eastAsia="黑体" w:cs="黑体"/>
          <w:sz w:val="36"/>
          <w:szCs w:val="36"/>
          <w:highlight w:val="none"/>
          <w:lang w:val="zh-TW"/>
        </w:rPr>
        <w:t xml:space="preserve"> </w:t>
      </w:r>
      <w:bookmarkStart w:id="13" w:name="_Toc14170"/>
      <w:r>
        <w:rPr>
          <w:rFonts w:hint="eastAsia" w:ascii="黑体" w:eastAsia="黑体" w:cs="黑体"/>
          <w:sz w:val="36"/>
          <w:szCs w:val="36"/>
          <w:highlight w:val="none"/>
          <w:lang w:val="zh-TW" w:eastAsia="zh-TW"/>
        </w:rPr>
        <w:t xml:space="preserve">项目需求</w:t>
      </w:r>
      <w:bookmarkEnd w:id="13"/>
      <w:r/>
      <w:r/>
    </w:p>
    <w:p>
      <w:pPr>
        <w:pStyle w:val="912"/>
        <w:ind w:firstLine="640"/>
        <w:spacing w:before="0" w:after="0" w:line="580" w:lineRule="exact"/>
        <w:rPr>
          <w:rFonts w:ascii="Times New Roman" w:hAnsi="Times New Roman" w:eastAsia="方正黑体_GBK" w:cs="Times New Roman"/>
          <w:b w:val="0"/>
          <w:bCs w:val="0"/>
          <w:sz w:val="32"/>
          <w:szCs w:val="32"/>
          <w:highlight w:val="none"/>
        </w:rPr>
      </w:pPr>
      <w:r/>
      <w:bookmarkStart w:id="14" w:name="_Toc29558"/>
      <w:r>
        <w:rPr>
          <w:rFonts w:hint="eastAsia" w:ascii="Times New Roman" w:hAnsi="Times New Roman" w:eastAsia="方正黑体_GBK" w:cs="Times New Roman"/>
          <w:b w:val="0"/>
          <w:bCs w:val="0"/>
          <w:sz w:val="32"/>
          <w:szCs w:val="32"/>
          <w:highlight w:val="none"/>
        </w:rPr>
        <w:t xml:space="preserve">一、采购</w:t>
      </w:r>
      <w:r>
        <w:rPr>
          <w:rFonts w:ascii="Times New Roman" w:hAnsi="Times New Roman" w:eastAsia="方正黑体_GBK" w:cs="Times New Roman"/>
          <w:b w:val="0"/>
          <w:bCs w:val="0"/>
          <w:sz w:val="32"/>
          <w:szCs w:val="32"/>
          <w:highlight w:val="none"/>
        </w:rPr>
        <w:t xml:space="preserve">标的清单</w:t>
      </w:r>
      <w:r/>
    </w:p>
    <w:tbl>
      <w:tblPr>
        <w:tblStyle w:val="91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851"/>
        <w:gridCol w:w="3630"/>
        <w:gridCol w:w="2890"/>
      </w:tblGrid>
      <w:tr>
        <w:trPr>
          <w:cantSplit/>
          <w:jc w:val="center"/>
        </w:trPr>
        <w:tc>
          <w:tcPr>
            <w:tcW w:w="1134" w:type="dxa"/>
            <w:vAlign w:val="center"/>
            <w:textDirection w:val="lrTb"/>
            <w:noWrap w:val="false"/>
          </w:tcPr>
          <w:p>
            <w:pPr>
              <w:jc w:val="center"/>
              <w:spacing w:line="0" w:lineRule="atLeast"/>
              <w:rPr>
                <w:rFonts w:hint="eastAsia" w:ascii="方正仿宋_GBK" w:hAnsi="宋体" w:eastAsiaTheme="minorEastAsia" w:cstheme="minorBidi"/>
                <w:sz w:val="24"/>
                <w:szCs w:val="24"/>
                <w:highlight w:val="none"/>
              </w:rPr>
            </w:pPr>
            <w:r>
              <w:rPr>
                <w:rFonts w:hint="eastAsia" w:ascii="方正仿宋_GBK" w:hAnsi="宋体" w:eastAsiaTheme="minorEastAsia" w:cstheme="minorBidi"/>
                <w:sz w:val="24"/>
                <w:szCs w:val="24"/>
                <w:highlight w:val="none"/>
              </w:rPr>
              <w:t xml:space="preserve">采购包</w:t>
            </w:r>
            <w:r/>
          </w:p>
        </w:tc>
        <w:tc>
          <w:tcPr>
            <w:tcW w:w="851" w:type="dxa"/>
            <w:vAlign w:val="center"/>
            <w:textDirection w:val="lrTb"/>
            <w:noWrap w:val="false"/>
          </w:tcPr>
          <w:p>
            <w:pPr>
              <w:jc w:val="center"/>
              <w:spacing w:line="0" w:lineRule="atLeast"/>
              <w:rPr>
                <w:rFonts w:hint="eastAsia" w:ascii="方正仿宋_GBK" w:hAnsi="宋体" w:eastAsiaTheme="minorEastAsia" w:cstheme="minorBidi"/>
                <w:sz w:val="24"/>
                <w:szCs w:val="24"/>
                <w:highlight w:val="none"/>
              </w:rPr>
            </w:pPr>
            <w:r>
              <w:rPr>
                <w:rFonts w:hint="eastAsia" w:ascii="方正仿宋_GBK" w:hAnsi="宋体" w:eastAsiaTheme="minorEastAsia" w:cstheme="minorBidi"/>
                <w:sz w:val="24"/>
                <w:szCs w:val="24"/>
                <w:highlight w:val="none"/>
              </w:rPr>
              <w:t xml:space="preserve">序号</w:t>
            </w:r>
            <w:r/>
          </w:p>
        </w:tc>
        <w:tc>
          <w:tcPr>
            <w:tcW w:w="3630" w:type="dxa"/>
            <w:vAlign w:val="center"/>
            <w:textDirection w:val="lrTb"/>
            <w:noWrap w:val="false"/>
          </w:tcPr>
          <w:p>
            <w:pPr>
              <w:jc w:val="center"/>
              <w:spacing w:line="0" w:lineRule="atLeast"/>
              <w:rPr>
                <w:rFonts w:hint="eastAsia" w:ascii="方正仿宋_GBK" w:hAnsi="宋体" w:eastAsiaTheme="minorEastAsia" w:cstheme="minorBidi"/>
                <w:sz w:val="24"/>
                <w:szCs w:val="24"/>
                <w:highlight w:val="none"/>
              </w:rPr>
            </w:pPr>
            <w:r>
              <w:rPr>
                <w:rFonts w:hint="eastAsia" w:ascii="方正仿宋_GBK" w:hAnsi="宋体" w:eastAsiaTheme="minorEastAsia" w:cstheme="minorBidi"/>
                <w:sz w:val="24"/>
                <w:szCs w:val="24"/>
                <w:highlight w:val="none"/>
              </w:rPr>
              <w:t xml:space="preserve">采购标的</w:t>
            </w:r>
            <w:r/>
          </w:p>
        </w:tc>
        <w:tc>
          <w:tcPr>
            <w:tcW w:w="2890" w:type="dxa"/>
            <w:vAlign w:val="center"/>
            <w:textDirection w:val="lrTb"/>
            <w:noWrap w:val="false"/>
          </w:tcPr>
          <w:p>
            <w:pPr>
              <w:jc w:val="center"/>
              <w:spacing w:line="0" w:lineRule="atLeast"/>
              <w:rPr>
                <w:rFonts w:hint="eastAsia" w:ascii="方正仿宋_GBK" w:hAnsi="宋体" w:eastAsiaTheme="minorEastAsia" w:cstheme="minorBidi"/>
                <w:sz w:val="24"/>
                <w:szCs w:val="24"/>
                <w:highlight w:val="none"/>
              </w:rPr>
            </w:pPr>
            <w:r>
              <w:rPr>
                <w:rFonts w:hint="eastAsia" w:ascii="方正仿宋_GBK" w:hAnsi="宋体" w:eastAsiaTheme="minorEastAsia" w:cstheme="minorBidi"/>
                <w:sz w:val="24"/>
                <w:szCs w:val="24"/>
                <w:highlight w:val="none"/>
              </w:rPr>
              <w:t xml:space="preserve">对应中小企业划分标准所属行业</w:t>
            </w:r>
            <w:r/>
          </w:p>
        </w:tc>
      </w:tr>
      <w:tr>
        <w:trPr>
          <w:cantSplit/>
          <w:jc w:val="center"/>
          <w:trHeight w:val="901"/>
        </w:trPr>
        <w:tc>
          <w:tcPr>
            <w:tcW w:w="1134" w:type="dxa"/>
            <w:vAlign w:val="center"/>
            <w:textDirection w:val="lrTb"/>
            <w:noWrap w:val="false"/>
          </w:tcPr>
          <w:p>
            <w:pPr>
              <w:jc w:val="center"/>
              <w:spacing w:line="0" w:lineRule="atLeast"/>
              <w:rPr>
                <w:rFonts w:hint="eastAsia" w:ascii="方正仿宋_GBK" w:hAnsi="宋体" w:eastAsiaTheme="minorEastAsia" w:cstheme="minorBidi"/>
                <w:sz w:val="24"/>
                <w:szCs w:val="24"/>
                <w:highlight w:val="none"/>
              </w:rPr>
            </w:pPr>
            <w:r>
              <w:rPr>
                <w:rFonts w:hint="eastAsia" w:ascii="方正仿宋_GBK" w:hAnsi="宋体" w:eastAsiaTheme="minorEastAsia" w:cstheme="minorBidi"/>
                <w:sz w:val="24"/>
                <w:szCs w:val="24"/>
                <w:highlight w:val="none"/>
              </w:rPr>
              <w:t xml:space="preserve">1</w:t>
            </w:r>
            <w:r/>
          </w:p>
        </w:tc>
        <w:tc>
          <w:tcPr>
            <w:tcW w:w="851" w:type="dxa"/>
            <w:vAlign w:val="center"/>
            <w:textDirection w:val="lrTb"/>
            <w:noWrap w:val="false"/>
          </w:tcPr>
          <w:p>
            <w:pPr>
              <w:jc w:val="center"/>
              <w:spacing w:line="0" w:lineRule="atLeast"/>
              <w:rPr>
                <w:rFonts w:hint="eastAsia" w:ascii="方正仿宋_GBK" w:hAnsi="宋体" w:eastAsiaTheme="minorEastAsia" w:cstheme="minorBidi"/>
                <w:sz w:val="24"/>
                <w:szCs w:val="24"/>
                <w:highlight w:val="none"/>
              </w:rPr>
            </w:pPr>
            <w:r>
              <w:rPr>
                <w:rFonts w:hint="eastAsia" w:ascii="方正仿宋_GBK" w:hAnsi="宋体" w:eastAsiaTheme="minorEastAsia" w:cstheme="minorBidi"/>
                <w:sz w:val="24"/>
                <w:szCs w:val="24"/>
                <w:highlight w:val="none"/>
              </w:rPr>
              <w:t xml:space="preserve">1</w:t>
            </w:r>
            <w:r/>
          </w:p>
        </w:tc>
        <w:tc>
          <w:tcPr>
            <w:tcW w:w="3630" w:type="dxa"/>
            <w:vAlign w:val="center"/>
            <w:textDirection w:val="lrTb"/>
            <w:noWrap w:val="false"/>
          </w:tcPr>
          <w:p>
            <w:pPr>
              <w:jc w:val="center"/>
              <w:spacing w:line="0" w:lineRule="atLeast"/>
              <w:rPr>
                <w:rFonts w:hint="eastAsia" w:ascii="方正仿宋_GBK" w:hAnsi="宋体" w:eastAsiaTheme="minorEastAsia" w:cstheme="minorBidi"/>
                <w:sz w:val="24"/>
                <w:szCs w:val="24"/>
                <w:highlight w:val="none"/>
              </w:rPr>
            </w:pPr>
            <w:r>
              <w:rPr>
                <w:rFonts w:hint="eastAsia" w:ascii="方正仿宋_GBK" w:hAnsi="宋体" w:eastAsiaTheme="minorEastAsia" w:cstheme="minorBidi"/>
                <w:sz w:val="24"/>
                <w:szCs w:val="24"/>
                <w:highlight w:val="none"/>
              </w:rPr>
              <w:t xml:space="preserve">江苏省医疗保障信息平台统一应用系统运行维护项目（2026）分包一</w:t>
            </w:r>
            <w:r/>
          </w:p>
        </w:tc>
        <w:tc>
          <w:tcPr>
            <w:tcW w:w="2890" w:type="dxa"/>
            <w:vAlign w:val="center"/>
            <w:textDirection w:val="lrTb"/>
            <w:noWrap w:val="false"/>
          </w:tcPr>
          <w:p>
            <w:pPr>
              <w:jc w:val="center"/>
              <w:spacing w:line="0" w:lineRule="atLeast"/>
              <w:rPr>
                <w:rFonts w:hint="eastAsia" w:ascii="方正仿宋_GBK" w:hAnsi="宋体" w:eastAsiaTheme="minorEastAsia" w:cstheme="minorBidi"/>
                <w:sz w:val="24"/>
                <w:szCs w:val="24"/>
                <w:highlight w:val="none"/>
              </w:rPr>
            </w:pPr>
            <w:r>
              <w:rPr>
                <w:rFonts w:hint="eastAsia" w:ascii="方正仿宋_GBK" w:hAnsi="宋体" w:eastAsiaTheme="minorEastAsia" w:cstheme="minorBidi"/>
                <w:sz w:val="24"/>
                <w:szCs w:val="24"/>
                <w:highlight w:val="none"/>
              </w:rPr>
              <w:t xml:space="preserve">软件与信息技术服务业</w:t>
            </w:r>
            <w:r/>
          </w:p>
        </w:tc>
      </w:tr>
      <w:tr>
        <w:trPr>
          <w:cantSplit/>
          <w:jc w:val="center"/>
          <w:trHeight w:val="901"/>
        </w:trPr>
        <w:tc>
          <w:tcPr>
            <w:tcW w:w="1134" w:type="dxa"/>
            <w:vAlign w:val="center"/>
            <w:textDirection w:val="lrTb"/>
            <w:noWrap w:val="false"/>
          </w:tcPr>
          <w:p>
            <w:pPr>
              <w:jc w:val="center"/>
              <w:spacing w:line="0" w:lineRule="atLeast"/>
              <w:rPr>
                <w:rFonts w:hint="eastAsia" w:ascii="方正仿宋_GBK" w:hAnsi="宋体" w:eastAsiaTheme="minorEastAsia" w:cstheme="minorBidi"/>
                <w:sz w:val="24"/>
                <w:szCs w:val="24"/>
                <w:highlight w:val="none"/>
              </w:rPr>
            </w:pPr>
            <w:r>
              <w:rPr>
                <w:rFonts w:hint="eastAsia" w:ascii="方正仿宋_GBK" w:hAnsi="宋体" w:eastAsiaTheme="minorEastAsia" w:cstheme="minorBidi"/>
                <w:sz w:val="24"/>
                <w:szCs w:val="24"/>
                <w:highlight w:val="none"/>
              </w:rPr>
              <w:t xml:space="preserve">2</w:t>
            </w:r>
            <w:r/>
          </w:p>
        </w:tc>
        <w:tc>
          <w:tcPr>
            <w:tcW w:w="851" w:type="dxa"/>
            <w:vAlign w:val="center"/>
            <w:textDirection w:val="lrTb"/>
            <w:noWrap w:val="false"/>
          </w:tcPr>
          <w:p>
            <w:pPr>
              <w:jc w:val="center"/>
              <w:spacing w:line="0" w:lineRule="atLeast"/>
              <w:rPr>
                <w:rFonts w:hint="eastAsia" w:ascii="方正仿宋_GBK" w:hAnsi="宋体" w:eastAsiaTheme="minorEastAsia" w:cstheme="minorBidi"/>
                <w:sz w:val="24"/>
                <w:szCs w:val="24"/>
                <w:highlight w:val="none"/>
              </w:rPr>
            </w:pPr>
            <w:r>
              <w:rPr>
                <w:rFonts w:hint="eastAsia" w:ascii="方正仿宋_GBK" w:hAnsi="宋体" w:eastAsiaTheme="minorEastAsia" w:cstheme="minorBidi"/>
                <w:sz w:val="24"/>
                <w:szCs w:val="24"/>
                <w:highlight w:val="none"/>
              </w:rPr>
              <w:t xml:space="preserve">1</w:t>
            </w:r>
            <w:r/>
          </w:p>
        </w:tc>
        <w:tc>
          <w:tcPr>
            <w:tcW w:w="3630" w:type="dxa"/>
            <w:vAlign w:val="center"/>
            <w:textDirection w:val="lrTb"/>
            <w:noWrap w:val="false"/>
          </w:tcPr>
          <w:p>
            <w:pPr>
              <w:jc w:val="center"/>
              <w:spacing w:line="0" w:lineRule="atLeast"/>
              <w:rPr>
                <w:rFonts w:hint="eastAsia" w:ascii="方正仿宋_GBK" w:hAnsi="宋体" w:eastAsiaTheme="minorEastAsia" w:cstheme="minorBidi"/>
                <w:sz w:val="24"/>
                <w:szCs w:val="24"/>
                <w:highlight w:val="none"/>
              </w:rPr>
            </w:pPr>
            <w:r>
              <w:rPr>
                <w:rFonts w:hint="eastAsia" w:ascii="方正仿宋_GBK" w:hAnsi="宋体" w:eastAsiaTheme="minorEastAsia" w:cstheme="minorBidi"/>
                <w:sz w:val="24"/>
                <w:szCs w:val="24"/>
                <w:highlight w:val="none"/>
              </w:rPr>
              <w:t xml:space="preserve">江苏省医疗保障信息平台统一应用系统运行维护项目（2026）分包二</w:t>
            </w:r>
            <w:r/>
          </w:p>
        </w:tc>
        <w:tc>
          <w:tcPr>
            <w:tcW w:w="2890" w:type="dxa"/>
            <w:vAlign w:val="center"/>
            <w:textDirection w:val="lrTb"/>
            <w:noWrap w:val="false"/>
          </w:tcPr>
          <w:p>
            <w:pPr>
              <w:jc w:val="center"/>
              <w:spacing w:line="0" w:lineRule="atLeast"/>
              <w:rPr>
                <w:rFonts w:hint="eastAsia" w:ascii="方正仿宋_GBK" w:hAnsi="宋体" w:eastAsiaTheme="minorEastAsia" w:cstheme="minorBidi"/>
                <w:sz w:val="24"/>
                <w:szCs w:val="24"/>
                <w:highlight w:val="none"/>
              </w:rPr>
            </w:pPr>
            <w:r>
              <w:rPr>
                <w:rFonts w:hint="eastAsia" w:ascii="方正仿宋_GBK" w:hAnsi="宋体" w:eastAsiaTheme="minorEastAsia" w:cstheme="minorBidi"/>
                <w:sz w:val="24"/>
                <w:szCs w:val="24"/>
                <w:highlight w:val="none"/>
              </w:rPr>
              <w:t xml:space="preserve">软件与信息技术服务业</w:t>
            </w:r>
            <w:r/>
          </w:p>
        </w:tc>
      </w:tr>
    </w:tbl>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二、项目概述</w:t>
      </w:r>
      <w:r/>
    </w:p>
    <w:p>
      <w:pPr>
        <w:pStyle w:val="972"/>
        <w:ind w:firstLine="640"/>
        <w:spacing w:line="580" w:lineRule="exact"/>
        <w:rPr>
          <w:rFonts w:eastAsia="方正仿宋_GBK" w:cs="Times New Roman"/>
          <w:sz w:val="32"/>
          <w:szCs w:val="32"/>
          <w:highlight w:val="none"/>
        </w:rPr>
      </w:pPr>
      <w:r>
        <w:rPr>
          <w:rFonts w:hint="eastAsia" w:eastAsia="方正仿宋_GBK" w:cs="Times New Roman"/>
          <w:sz w:val="32"/>
          <w:szCs w:val="32"/>
          <w:highlight w:val="none"/>
        </w:rPr>
        <w:t xml:space="preserve">江苏省医疗保障信息平台按照国家医保局统一标准规范建设，采用阿里云平台、分布式、微服务架构，省级集中部署、双中心建设，为全省参保群众、定点医药机构、医药企业的医保服务和管理提供基础性支撑。通过建立权责清晰、规范标准的江苏省医疗保障信息平台一体化运维管理体系，全面加强全省统一应用系统运行维护管理，做到问题早发现、早解决，最大限度减少因运维管理工作的不及时和不到位导致的安全隐患及故障，为全省参保群众和两定机构持续提供优质、便捷、高效的医疗保障服务。</w:t>
      </w:r>
      <w:r/>
    </w:p>
    <w:p>
      <w:pPr>
        <w:ind w:firstLine="640"/>
        <w:jc w:val="center"/>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分包一采购需求</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一、运维服务范围</w:t>
      </w:r>
      <w:r/>
    </w:p>
    <w:p>
      <w:pPr>
        <w:pStyle w:val="972"/>
        <w:ind w:firstLine="640"/>
        <w:spacing w:line="580" w:lineRule="exact"/>
        <w:rPr>
          <w:rFonts w:eastAsia="方正仿宋_GBK" w:cs="Times New Roman"/>
          <w:sz w:val="32"/>
          <w:szCs w:val="32"/>
          <w:highlight w:val="none"/>
        </w:rPr>
      </w:pPr>
      <w:r>
        <w:rPr>
          <w:rFonts w:hint="eastAsia" w:eastAsia="方正仿宋_GBK" w:cs="Times New Roman"/>
          <w:sz w:val="32"/>
          <w:szCs w:val="32"/>
          <w:highlight w:val="none"/>
        </w:rPr>
        <w:t xml:space="preserve">分包一为核心业务系统运维服务，包括内部统一门户、基础信息管理、内部控制、医保业务基础管理、医保支付方式管理等</w:t>
      </w:r>
      <w:r>
        <w:rPr>
          <w:rFonts w:eastAsia="方正仿宋_GBK" w:cs="Times New Roman"/>
          <w:sz w:val="32"/>
          <w:szCs w:val="32"/>
          <w:highlight w:val="none"/>
        </w:rPr>
        <w:t xml:space="preserve">5</w:t>
      </w:r>
      <w:r>
        <w:rPr>
          <w:rFonts w:hint="eastAsia" w:eastAsia="方正仿宋_GBK" w:cs="Times New Roman"/>
          <w:sz w:val="32"/>
          <w:szCs w:val="32"/>
          <w:highlight w:val="none"/>
        </w:rPr>
        <w:t xml:space="preserve">个业务子系统，以及省本级经办系统运行维护，及时发现排查故障隐患，持续优化完善系统功能，提升运行效能，确保系统安全、平稳、高效运行。具体运维工作如下：</w:t>
      </w:r>
      <w:r/>
    </w:p>
    <w:p>
      <w:pPr>
        <w:pStyle w:val="972"/>
        <w:ind w:firstLine="640"/>
        <w:spacing w:line="580" w:lineRule="exact"/>
        <w:rPr>
          <w:rFonts w:eastAsia="方正仿宋_GBK" w:cs="Times New Roman"/>
          <w:sz w:val="32"/>
          <w:szCs w:val="32"/>
          <w:highlight w:val="none"/>
        </w:rPr>
      </w:pPr>
      <w:r>
        <w:rPr>
          <w:rFonts w:hint="eastAsia" w:eastAsia="方正仿宋_GBK" w:cs="Times New Roman"/>
          <w:sz w:val="32"/>
          <w:szCs w:val="32"/>
          <w:highlight w:val="none"/>
        </w:rPr>
        <w:t xml:space="preserve">1.开展核心业务系统运行监测，包括定点结算、业务经办、互联网医保服务情况等，及时响应解决故障问题，保障全省医保信息平台实体安全、运行安全和数据安全。</w:t>
      </w:r>
      <w:r/>
    </w:p>
    <w:p>
      <w:pPr>
        <w:pStyle w:val="972"/>
        <w:ind w:firstLine="640"/>
        <w:spacing w:line="580" w:lineRule="exact"/>
        <w:rPr>
          <w:rFonts w:eastAsia="方正仿宋_GBK" w:cs="Times New Roman"/>
          <w:sz w:val="32"/>
          <w:szCs w:val="32"/>
          <w:highlight w:val="none"/>
        </w:rPr>
      </w:pPr>
      <w:r>
        <w:rPr>
          <w:rFonts w:hint="eastAsia" w:eastAsia="方正仿宋_GBK" w:cs="Times New Roman"/>
          <w:sz w:val="32"/>
          <w:szCs w:val="32"/>
          <w:highlight w:val="none"/>
        </w:rPr>
        <w:t xml:space="preserve">2.遵循国家医保信息平台统一技术架构和标准规范，按照我省医保业务和政策调整以及重点改革需要，由省医保局统一组织实施的核心业务系统相关功能调整、优化，以及新增系统（功能模块）开发。</w:t>
      </w:r>
      <w:r/>
    </w:p>
    <w:p>
      <w:pPr>
        <w:pStyle w:val="972"/>
        <w:ind w:firstLine="640"/>
        <w:spacing w:line="580" w:lineRule="exact"/>
        <w:rPr>
          <w:rFonts w:eastAsia="方正仿宋_GBK" w:cs="Times New Roman"/>
          <w:sz w:val="32"/>
          <w:szCs w:val="32"/>
          <w:highlight w:val="none"/>
        </w:rPr>
      </w:pPr>
      <w:r>
        <w:rPr>
          <w:rFonts w:hint="eastAsia" w:eastAsia="方正仿宋_GBK" w:cs="Times New Roman"/>
          <w:sz w:val="32"/>
          <w:szCs w:val="32"/>
          <w:highlight w:val="none"/>
        </w:rPr>
        <w:t xml:space="preserve">3.设区市通过全省需求管理平台提交，并经省局审核后认定为共性需求的核心业务系统相关功能调整、优化，以及新增系统（功能模块）开发。</w:t>
      </w:r>
      <w:r/>
    </w:p>
    <w:p>
      <w:pPr>
        <w:pStyle w:val="972"/>
        <w:ind w:firstLine="640"/>
        <w:spacing w:line="580" w:lineRule="exact"/>
        <w:rPr>
          <w:rFonts w:eastAsia="方正仿宋_GBK" w:cs="Times New Roman"/>
          <w:sz w:val="32"/>
          <w:szCs w:val="32"/>
          <w:highlight w:val="none"/>
        </w:rPr>
      </w:pPr>
      <w:r>
        <w:rPr>
          <w:rFonts w:hint="eastAsia" w:eastAsia="方正仿宋_GBK" w:cs="Times New Roman"/>
          <w:sz w:val="32"/>
          <w:szCs w:val="32"/>
          <w:highlight w:val="none"/>
        </w:rPr>
        <w:t xml:space="preserve">4.遵循国家医疗保障信息平台统一接口规范，按照省局医保业务和工作实际需要，开展省平台外部接口管理。向定点医药机构免费提供基于国家医保信息平台标准规范的核心业务系统接口培训、联调服务和测试工具，包括但不限于基础信息、医保结算、月结对账、机构服务、信息采集、电子处方、电子结算凭证、电子病历、追溯码等接口，并在省医保局规定的时间内完成接口对接。按要求完成与相关政府部门、金融机构、商保公司等外部单位接口对接。</w:t>
      </w:r>
      <w:r/>
    </w:p>
    <w:p>
      <w:pPr>
        <w:pStyle w:val="972"/>
        <w:ind w:firstLine="640"/>
        <w:spacing w:line="580" w:lineRule="exact"/>
        <w:rPr>
          <w:rFonts w:eastAsia="方正仿宋_GBK" w:cs="Times New Roman"/>
          <w:sz w:val="32"/>
          <w:szCs w:val="32"/>
          <w:highlight w:val="none"/>
        </w:rPr>
      </w:pPr>
      <w:r>
        <w:rPr>
          <w:rFonts w:hint="eastAsia" w:eastAsia="方正仿宋_GBK" w:cs="Times New Roman"/>
          <w:sz w:val="32"/>
          <w:szCs w:val="32"/>
          <w:highlight w:val="none"/>
        </w:rPr>
        <w:t xml:space="preserve">5.遵循国家医保信息平台技术标准规范，按照省局医保业务和工作实际需要，在规定时间内配合省平台总集服务团队和各业务子系统（功能模块）承建厂商完成涉及核心业务系统的相关对接和调优工作，包括但不限于系统调整、接口适配开发、数据交互、版本升级等，确保实现各项医保管理服务功能。</w:t>
      </w:r>
      <w:r/>
    </w:p>
    <w:p>
      <w:pPr>
        <w:pStyle w:val="972"/>
        <w:ind w:firstLine="640"/>
        <w:spacing w:line="580" w:lineRule="exact"/>
        <w:rPr>
          <w:rFonts w:eastAsia="方正仿宋_GBK" w:cs="Times New Roman"/>
          <w:sz w:val="32"/>
          <w:szCs w:val="32"/>
          <w:highlight w:val="none"/>
        </w:rPr>
      </w:pPr>
      <w:r>
        <w:rPr>
          <w:rFonts w:hint="eastAsia" w:eastAsia="方正仿宋_GBK" w:cs="Times New Roman"/>
          <w:sz w:val="32"/>
          <w:szCs w:val="32"/>
          <w:highlight w:val="none"/>
        </w:rPr>
        <w:t xml:space="preserve">6.遵循国家医保信息平台医保数据标准规范，按照省局数据治理和贯标工作要求，开展数据质量控制，完成全省数据归集上传，按要求完成与相关政府部门、金融机构、商保公司等外部单位数据共享交换，确保医保数据资源安全可控。</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二、运维服务内容及要求</w:t>
      </w:r>
      <w:r/>
    </w:p>
    <w:p>
      <w:pPr>
        <w:ind w:left="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（一）系统运行监控</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安排专人对</w:t>
      </w:r>
      <w:r>
        <w:rPr>
          <w:rFonts w:hint="eastAsia" w:eastAsia="方正仿宋_GBK" w:cs="Times New Roman" w:asciiTheme="minorHAnsi" w:hAnsiTheme="minorHAnsi"/>
          <w:sz w:val="32"/>
          <w:szCs w:val="32"/>
          <w:highlight w:val="none"/>
        </w:rPr>
        <w:t xml:space="preserve">核心业务系统</w:t>
      </w:r>
      <w:r>
        <w:rPr>
          <w:rFonts w:hint="eastAsia" w:ascii="Times New Roman" w:hAnsi="Times New Roman" w:eastAsia="方正仿宋_GBK" w:cs="Times New Roman"/>
          <w:sz w:val="32"/>
          <w:szCs w:val="32"/>
          <w:highlight w:val="none"/>
        </w:rPr>
        <w:t xml:space="preserve">进行7×24小时现场监控，配合使用专业自动化监控工具，提高监测实时性和准确性。正确设置自动化监控工具的预警阈值，针对不同系统设置合理的监测频度，并定期进行检查和评估分析，主要分析进程的活动状态、日志信息、处理器使用率、内存利用率、并发线程数量、并发处理量、关键业务指标、慢SQL执行情况等，监控结果通过短信、微信、钉钉等渠道发送给相关人员。</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一旦发生系统故障，运维团队需及时响应，积极协调各方（包括总集、平台各承建厂商、医保部门、两定机构等）进行故障定位。提出解决方案并采取相应措施，保障平台实体安全、运行安全和数据安全，最大限度地减少信息安全突发事件的危害，保护参保人利益。故障等级和响应、解决时间详见本章第八节“服务响应时间要求”。</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每日分析核心业务系统监控日志，跟踪处理日志分析中发现的异常事件，形成日报；每季度全面评估监控日志和操作记录，分析异常情况，形成评估报告。监控日志保存时间不少于一年。</w:t>
      </w:r>
      <w:r/>
    </w:p>
    <w:p>
      <w:pPr>
        <w:ind w:left="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（二）定点结算监控</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每日做好定点医药机构结算端的医保码使用、社保卡刷卡鉴权、异地就医联网结算、医保结算清单上传等场景的监控，实时监控分析医保接口调用情况，以及统筹区内结算分布、结算重点人群、结算重点机构等，保障定点医药机构结算平稳有序。</w:t>
      </w:r>
      <w:r/>
    </w:p>
    <w:p>
      <w:pPr>
        <w:ind w:left="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（三）业务经办监控</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实时监控分析各级医保经办机构、经办人员的业务经办情况，包括人员参保、待遇发放、基金收支以及医药机构联网结算、异地就医联网结算等情况，可根据设定的阈值对业务经办压力和基金潜存风险进行预警提醒。</w:t>
      </w:r>
      <w:r/>
    </w:p>
    <w:p>
      <w:pPr>
        <w:ind w:left="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（四）数据库优化服务</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实施省平台数据库分层管理，包括但不限于：业务逻辑分析，合理规划冷热数据分离涉及的业务表；分析每张表业务产生的规律，分别制定实施方案，在业务低峰期进行温数据备份、备份后的生产数据删除，数据库表空间回收；开发数据分层管理系统，根据需要提供温数据回流至生产库、温数据查询、温数据接口调用；改造生产库，业务需要时触发温数据回流，确保业务的连续性和一致性。</w:t>
      </w:r>
      <w:r/>
    </w:p>
    <w:p>
      <w:pPr>
        <w:ind w:left="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（五）问题和需求处理</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及时规范响应并处理全省统一需求管理平台提交的各类问题和需求，开展需求分析、提出解决方案并组织实施，同时对处理过程进行跟踪和管理，包括问题和需求的识别、提交、分析、处理、升级、解决、结束等，年度按时办结率不低于95%。</w:t>
      </w:r>
      <w:r/>
    </w:p>
    <w:p>
      <w:pPr>
        <w:ind w:left="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（六）需求变更响应</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1.按照国家局实施进度要求，部署应用最新下发的业务功能模块。</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2.遵循国家局医疗保障信息平台统一技术架构和标准规范，根据我省医保业务和政策调整以及重点改革需要，对</w:t>
      </w:r>
      <w:r>
        <w:rPr>
          <w:rFonts w:hint="eastAsia" w:eastAsia="方正仿宋_GBK" w:cs="Times New Roman" w:asciiTheme="minorHAnsi" w:hAnsiTheme="minorHAnsi"/>
          <w:sz w:val="32"/>
          <w:szCs w:val="32"/>
          <w:highlight w:val="none"/>
        </w:rPr>
        <w:t xml:space="preserve">核心业务系统</w:t>
      </w:r>
      <w:r>
        <w:rPr>
          <w:rFonts w:hint="eastAsia" w:ascii="Times New Roman" w:hAnsi="Times New Roman" w:eastAsia="方正仿宋_GBK" w:cs="Times New Roman"/>
          <w:sz w:val="32"/>
          <w:szCs w:val="32"/>
          <w:highlight w:val="none"/>
        </w:rPr>
        <w:t xml:space="preserve">进行功能模块开发和优化完善。</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3.通过建立全省统一的需求变更响应流程，研究、处理各设区市通过需求管理平台提交的共性需求，根据需求重要等级进行提醒督办，确保按时完成功能开发部署，满足业务需求。</w:t>
      </w:r>
      <w:r/>
    </w:p>
    <w:p>
      <w:pPr>
        <w:ind w:left="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（七）测试和生产环境管理</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做好</w:t>
      </w:r>
      <w:r>
        <w:rPr>
          <w:rFonts w:hint="eastAsia" w:eastAsia="方正仿宋_GBK" w:cs="Times New Roman" w:asciiTheme="minorHAnsi" w:hAnsiTheme="minorHAnsi"/>
          <w:sz w:val="32"/>
          <w:szCs w:val="32"/>
          <w:highlight w:val="none"/>
        </w:rPr>
        <w:t xml:space="preserve">核心业务系统</w:t>
      </w:r>
      <w:r>
        <w:rPr>
          <w:rFonts w:hint="eastAsia" w:ascii="Times New Roman" w:hAnsi="Times New Roman" w:eastAsia="方正仿宋_GBK" w:cs="Times New Roman"/>
          <w:sz w:val="32"/>
          <w:szCs w:val="32"/>
          <w:highlight w:val="none"/>
        </w:rPr>
        <w:t xml:space="preserve">测试环境和生产环境维护管理，环境管理包括环境文档管理、环境访问权限管理、环境变更管理和环境备份与恢复。</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1.环境文档管理</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主要做好以下文档管理：</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（1）测试和生产环境部署的全部服务器和终端设备，每台设备上所安装的全部软件的安装配置手册，记录各项软件的名称、版本、安装过程、相关参数的配置方法，以及历次软件变更情况等；</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（2）测试和生产环境部署的全部服务器和终端设备，每台设备的硬件环境文档，记录每台设备的硬件配置（CPU/内存/硬盘/网卡等）、IP地址、具体用途，以及历次硬件配置变更情况等；</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（3）被测软件或产品的发布手册，记录被测软件或产品的发布/安装方法，包括数据库表的创建、数据的导入、应用层的安装，以及历次被测软件或版本的发布情况，对版本差异进行描述等；</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（4）环境的备份和恢复方法手册，记录每次备份的时间、备份人、备份原因（与上次备份相比发生的变化），以及所形成的备份文件的文件名、获取方式和恢复方法等；</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（5）用户权限管理文档，记录访问操作系统、数据库、中间件、WEB服务器以及被测软件或发布版本所需的各种用户名、密码以及用户权限，并对每次变更进行记录。</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2.环境访问权限管理</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按照以下要求维护环境权限：</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（1）环境管理员统一管理访问操作系统、数据库、中间件、WEB服务器以及被测软件或发布版本等所需的各种用户名、密码、权限等；</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（2）除对被测软件或发布版本的访问权限外，原则上不授予开发人员对环境其他部分的访问权限，如确有必要（例如查看系统日志），则只授予只读权限（user权限）；</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（3）除环境管理员外，其他成员不授予删除权限；</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（4）在用户权限管理文档中记录用户及权限的各项维护、变更信息。</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3.环境变更管理</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确保每次变更可追溯：</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（1）测试人员必须通过全省统一需求管理平台提出环境变更申请，环境管理员负责执行；</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（2）测试负责人需做好环境变更记录；</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（3）每次变更相关的变更申请文档、软件、脚本等均保留原始备份，作为配置项进行管理；</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（4）对于被测软件或版本的发布，由开发人员负责打包，测试人员负责核对和发布。</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4.环境备份与恢复</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（1）确保环境程序版本、数据可恢复；</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（2）对于功能或性能测试，需定期备份测试数据或从生产环境导入测试数据；</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（3）通过软件备份工具备份数据，同时保障备份数据可快速恢复，数据备份日志保存时间不少于六个月。</w:t>
      </w:r>
      <w:r/>
    </w:p>
    <w:p>
      <w:pPr>
        <w:ind w:left="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（八）版本升级管理</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按照国家局最新下发的医疗保障信息平台基础版本，以及各类业务需求开发完成情况，定期对</w:t>
      </w:r>
      <w:r>
        <w:rPr>
          <w:rFonts w:hint="eastAsia" w:eastAsia="方正仿宋_GBK" w:cs="Times New Roman" w:asciiTheme="minorHAnsi" w:hAnsiTheme="minorHAnsi"/>
          <w:sz w:val="32"/>
          <w:szCs w:val="32"/>
          <w:highlight w:val="none"/>
        </w:rPr>
        <w:t xml:space="preserve">核心业务系统</w:t>
      </w:r>
      <w:r>
        <w:rPr>
          <w:rFonts w:hint="eastAsia" w:ascii="Times New Roman" w:hAnsi="Times New Roman" w:eastAsia="方正仿宋_GBK" w:cs="Times New Roman"/>
          <w:sz w:val="32"/>
          <w:szCs w:val="32"/>
          <w:highlight w:val="none"/>
        </w:rPr>
        <w:t xml:space="preserve">进行迭代升级，做好版本管理，具体包括版本发布申请、版本测试、版本发布审批、版本发布回退等。</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核心业务系统版本升级需严格按照《关于加强全省医保信息平台核心业务系统版本升级管理的通知》（苏医保函〔2023〕188号）明确的操作流程规范执行。</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1.版本发布</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问题和新增需求修改完成并内部测试通过后，通过全省需求管理平台申请版本发布；审批通过后，由专职打版人员在测试环境中打版部署并验证。</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2.版本测试</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提前做好测试环境中用户测试相关培训工作，并提供测试用例，同时做好用户测试问题的记录、整改和跟踪工作，测试通过后编写测试总结。根据版本升级涉及的功能和内容，配合做好风险评估和应急预案。</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3.版本升级</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按要求实施正式环境版本升级，并配合做好打版部署后的测试验证工作。正式环境版本升级原则上需安排在业务低峰期，减少对医保结算和经办服务的影响。</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4.版本回退</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正式环境升级后出现不能及时解决的系统异常应尽快回退，无法回退的应立即启用应急预案。</w:t>
      </w:r>
      <w:r/>
    </w:p>
    <w:p>
      <w:pPr>
        <w:ind w:left="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（九）数据质量管理</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严格落实国家局医保信息平台医保数据标准规范和贯标工作要求，配合开展医保数据的治理、开发、计算与存储工作，为上层服务提供数据层调用能力。完善数据治理体系建设，优化数据归集与数据抽取流程，开展离线质控、API接口质控、标准化管理、经办查询与分离、支撑数据中台应用拓展等服务，提供可视化数据归集过程监控，实现数据治理全生命周期的闭环管理。</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基于国家下发的数据归集质量规则，结合我省业务情况，制定数据上报质量校验规则，并将规则维护到数据上报质量规则库中。建立数据上报质量规则和校验脚本的映射关系，定时自动执行校验规定。</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统一对接外部数据共享交换需求，形成数据的统一出入口。将交换进来的外部数据同步到数据仓库外部交换库中，并对数据做质量校验，发现问题及时联系相关部门重新获取。对需要对外交换的医保数据，按照国家医保局要求统一对接，保证数据出口唯一性。</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将数据中台数据仓库治理完成的数据统一同步到数据资源共享库，建立数据资源共享管控机制，实现数据资源的安全、有序共享利用。统一对接全省医保信息平台各业务子系统数据资源需求，提供规范、标准、准确的医保数据。</w:t>
      </w:r>
      <w:r/>
    </w:p>
    <w:p>
      <w:pPr>
        <w:ind w:left="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（十）应用安全管理</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建立漏洞扫描修复工作机制，每季度对服务器开展至少一次全面病毒</w:t>
      </w:r>
      <w:r>
        <w:rPr>
          <w:rFonts w:hint="eastAsia" w:ascii="Times New Roman" w:hAnsi="Times New Roman" w:eastAsia="方正仿宋_GBK" w:cs="Times New Roman"/>
          <w:sz w:val="32"/>
          <w:szCs w:val="32"/>
          <w:highlight w:val="none"/>
        </w:rPr>
        <w:t xml:space="preserve">扫描（不得在交易时段内进行），定义扫描检测的内容和程序，明确漏洞扫描工具和扫描频率，记录扫描结果及处理情况。每半年至少进行1次数据库密码修改和验证，确保数据安全。按要求配合开展信息系统安全等级保护自查或测评，对安全检查情况进行评估，形成评估报告。督促解决检查、测评、评估中发现的风险隐患。每季度至少开展1次安全风险处置演练，同时按照省医保局和总集服务团队要求，配合开展各类安全应急演练，及时发现并排除故障隐患，并提交演练结果和问题整改报告，有效履行保障和应对医疗保障信息平台突发事件的职责，确保平台安全平稳运行。</w:t>
      </w:r>
      <w:r/>
    </w:p>
    <w:p>
      <w:pPr>
        <w:ind w:left="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（十一）外部接口对接管理</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统一运维管理</w:t>
      </w:r>
      <w:r>
        <w:rPr>
          <w:rFonts w:hint="eastAsia" w:eastAsia="方正仿宋_GBK" w:cs="Times New Roman" w:asciiTheme="minorHAnsi" w:hAnsiTheme="minorHAnsi"/>
          <w:sz w:val="32"/>
          <w:szCs w:val="32"/>
          <w:highlight w:val="none"/>
        </w:rPr>
        <w:t xml:space="preserve">核心业务系统</w:t>
      </w:r>
      <w:r>
        <w:rPr>
          <w:rFonts w:hint="eastAsia" w:ascii="Times New Roman" w:hAnsi="Times New Roman" w:eastAsia="方正仿宋_GBK" w:cs="Times New Roman"/>
          <w:sz w:val="32"/>
          <w:szCs w:val="32"/>
          <w:highlight w:val="none"/>
        </w:rPr>
        <w:t xml:space="preserve">的外部接口，严格按照医保信息平台接口规范，实现医保业务管理服务过程中信息交换、服务调用和交易申请的统一接入。提供服务注册、服务鉴权、身份认证、服务路由、服务日志监控等统一接口管理能力，为其他相关行业提供接口接入标准，最大限度地实现医保与定点医药机构、医保与人社、税务、公安、财政、卫健、民政、数据局等政府部门，以及与金融、商保公司等外部单位的无缝对接。</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国家和省局下达的工作任务，如需定点医药机构、政府部门、金融、商保公司等第三方进行信息系统接口改造对接，不得向第三方接入对象及其委托的信息系统开发厂商收取费用或设置障碍。如接到第三方相关投诉，经核查属实，采购人可在项目验收综合考评时扣分，并减值支付合同款项。</w:t>
      </w:r>
      <w:r/>
    </w:p>
    <w:p>
      <w:pPr>
        <w:ind w:left="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（十二）运维管理日常工作</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运维管理日常工作主要包括撰写工作报告、组织工作例会、开展工作总结、考核管理等内容。</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1.运维管理工作报告</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以日（周）报形式向采购人报告每日（周）系统运行情况、新发现问题、已解决问题、需求变更评审与执行等情况（新系统或功能模块上线运行初期以日报形式，采购人确认运行基本稳定后以周报形式报送运维报告）。</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2.运维管理工作例会</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每周（月）召集项目运维例会。并邀请采购人相关业务部门参加。一是对周期内的系统运行情况进行全面梳理与小结；二是对待解决问题清单进行分析与评估，确定优先处理顺序与解决时间表；三是对数量多、影响大或具有典型特点的问题全面梳理与攻关突破，分级分类确定解决方案，复杂问题确定专题会议讨论研究；四是对问题解决路径进行优化与完善，提高排查处理效率；五是要形成会议纪要并报送采购人。</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3.运维管理总结报告</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运维管理总结报告：定期（每月、每季）对项目运维情况进行全面小结并形成书面报告，主要包括分析本期新增问题（需求）数量、本期完成数量、待完成数量、解决率、平均响应时长、平均解决时长等运维服务指标，重点分析超响应时长与解决时长的事件情况，开展用户满意度调查，收集用户反馈意见建议并制定改进措施，以及下一步工作计划等内容。</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（2）专题分析报告：针对重大突发故障进行专题分析并形成书面报告，主要包括故障描述、发生时间、发生地点、受理时间、响应时间、恢复时间、影响程度与范围，故障原因分析、后续改进计划等内容。</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专项分析报告：每季度组织包括硬件资源专家、云平台资源专家、业务架构师、数据库专家和网络安全专家等组成的巡检专家组，赴项目现场对项目内部执行规范性、平台安全合规性、系统整体监测与优化情况等方面开展专项检查，最大程度发现和收集问题，并推进问题解决。巡检专家组需提前制定工作方案，明确工作目标，并形成专项分析书面报告。</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4.运维服务考核管理</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每月对运维服务内容、质量和效果开展自评，并配合采购人开展月度和验收量化考核，提供运维人员数量、资质、能力，运维服务规范性、全面性、专业性、时效性、安全性，运维文档规范性、准确性、完整性等考核项的相关佐证材料，并根据考核情况及时进行整改。</w:t>
      </w:r>
      <w:r/>
    </w:p>
    <w:p>
      <w:pPr>
        <w:ind w:left="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（十三）其他相关服务</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配合制定全省医保信息平台运维管理制度，规范</w:t>
      </w:r>
      <w:r>
        <w:rPr>
          <w:rFonts w:hint="eastAsia" w:eastAsia="方正仿宋_GBK" w:cs="Times New Roman" w:asciiTheme="minorHAnsi" w:hAnsiTheme="minorHAnsi"/>
          <w:sz w:val="32"/>
          <w:szCs w:val="32"/>
          <w:highlight w:val="none"/>
        </w:rPr>
        <w:t xml:space="preserve">核心业务系统</w:t>
      </w:r>
      <w:r>
        <w:rPr>
          <w:rFonts w:hint="eastAsia" w:ascii="Times New Roman" w:hAnsi="Times New Roman" w:eastAsia="方正仿宋_GBK" w:cs="Times New Roman"/>
          <w:sz w:val="32"/>
          <w:szCs w:val="32"/>
          <w:highlight w:val="none"/>
        </w:rPr>
        <w:t xml:space="preserve">各项业务流程、审核标准等，为相关业务系统的第三方对接开发单位提供技术支持，提供用户培训和系统操作指导等，培训时间和地点由采购人指定。</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三、运维服务项目归档资料清单要求</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每月5日前将上月运维服务产生的所有文档资料提交采购人或采购人指定的总集服务团队归档。资料清单如下：</w:t>
      </w:r>
      <w:r/>
    </w:p>
    <w:tbl>
      <w:tblPr>
        <w:tblStyle w:val="917"/>
        <w:tblW w:w="52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426"/>
        <w:gridCol w:w="5515"/>
        <w:gridCol w:w="1267"/>
      </w:tblGrid>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widowControl/>
              <w:rPr>
                <w:rFonts w:eastAsia="黑体" w:cs="宋体" w:asciiTheme="minorHAnsi" w:hAnsiTheme="minorHAnsi"/>
                <w:sz w:val="24"/>
                <w:highlight w:val="none"/>
              </w:rPr>
            </w:pPr>
            <w:r>
              <w:rPr>
                <w:rFonts w:hint="eastAsia" w:eastAsia="黑体" w:cs="宋体" w:asciiTheme="minorHAnsi" w:hAnsiTheme="minorHAnsi"/>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02" w:type="dxa"/>
            <w:vAlign w:val="center"/>
            <w:textDirection w:val="lrTb"/>
            <w:noWrap w:val="false"/>
          </w:tcPr>
          <w:p>
            <w:pPr>
              <w:jc w:val="center"/>
              <w:widowControl/>
              <w:rPr>
                <w:rFonts w:eastAsia="黑体" w:cs="宋体" w:asciiTheme="minorHAnsi" w:hAnsiTheme="minorHAnsi"/>
                <w:sz w:val="24"/>
                <w:highlight w:val="none"/>
              </w:rPr>
            </w:pPr>
            <w:r>
              <w:rPr>
                <w:rFonts w:hint="eastAsia" w:eastAsia="黑体" w:cs="宋体" w:asciiTheme="minorHAnsi" w:hAnsiTheme="minorHAnsi"/>
                <w:sz w:val="24"/>
                <w:highlight w:val="none"/>
              </w:rPr>
              <w:t xml:space="preserve">运维服务内容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jc w:val="center"/>
              <w:widowControl/>
              <w:rPr>
                <w:rFonts w:eastAsia="黑体" w:cs="宋体" w:asciiTheme="minorHAnsi" w:hAnsiTheme="minorHAnsi"/>
                <w:sz w:val="24"/>
                <w:highlight w:val="none"/>
              </w:rPr>
            </w:pPr>
            <w:r>
              <w:rPr>
                <w:rFonts w:hint="eastAsia" w:eastAsia="黑体" w:cs="宋体" w:asciiTheme="minorHAnsi" w:hAnsiTheme="minorHAnsi"/>
                <w:sz w:val="24"/>
                <w:highlight w:val="none"/>
              </w:rPr>
              <w:t xml:space="preserve">提交物</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widowControl/>
              <w:rPr>
                <w:rFonts w:eastAsia="黑体" w:cs="宋体" w:asciiTheme="minorHAnsi" w:hAnsiTheme="minorHAnsi"/>
                <w:sz w:val="24"/>
                <w:highlight w:val="none"/>
              </w:rPr>
            </w:pPr>
            <w:r>
              <w:rPr>
                <w:rFonts w:hint="eastAsia" w:eastAsia="黑体" w:cs="宋体" w:asciiTheme="minorHAnsi" w:hAnsiTheme="minorHAnsi"/>
                <w:sz w:val="24"/>
                <w:highlight w:val="none"/>
              </w:rPr>
              <w:t xml:space="preserve">提交周期</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hint="eastAsia" w:ascii="方正仿宋_GBK" w:eastAsia="方正仿宋_GBK" w:cs="宋体" w:hAnsiTheme="minorHAnsi"/>
                <w:sz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02" w:type="dxa"/>
            <w:vAlign w:val="center"/>
            <w:vMerge w:val="restart"/>
            <w:textDirection w:val="lrTb"/>
            <w:noWrap w:val="false"/>
          </w:tcPr>
          <w:p>
            <w:pPr>
              <w:jc w:val="left"/>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平台整体运行情况监测</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《平台整体运行情况监测周报》等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每周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hint="eastAsia" w:ascii="方正仿宋_GBK" w:eastAsia="方正仿宋_GBK" w:cs="宋体" w:hAnsiTheme="minorHAnsi"/>
                <w:sz w:val="24"/>
                <w:highlight w:val="none"/>
              </w:rPr>
              <w:t xml:space="preserve">2</w:t>
            </w:r>
            <w:r/>
          </w:p>
        </w:tc>
        <w:tc>
          <w:tcPr>
            <w:tcBorders>
              <w:top w:val="single" w:color="000000" w:sz="8" w:space="0"/>
              <w:left w:val="single" w:color="000000" w:sz="8" w:space="0"/>
              <w:bottom w:val="single" w:color="000000" w:sz="8" w:space="0"/>
              <w:right w:val="single" w:color="000000" w:sz="8" w:space="0"/>
            </w:tcBorders>
            <w:tcW w:w="2102" w:type="dxa"/>
            <w:vAlign w:val="center"/>
            <w:vMerge w:val="continue"/>
            <w:textDirection w:val="lrTb"/>
            <w:noWrap w:val="false"/>
          </w:tcPr>
          <w:p>
            <w:pPr>
              <w:jc w:val="left"/>
              <w:spacing w:line="320" w:lineRule="exact"/>
              <w:widowControl/>
              <w:rPr>
                <w:rFonts w:ascii="方正仿宋_GBK" w:eastAsia="方正仿宋_GBK" w:hAnsiTheme="minorHAnsi" w:cstheme="minorBidi"/>
                <w:sz w:val="24"/>
                <w:highlight w:val="none"/>
              </w:rPr>
            </w:pPr>
            <w:r>
              <w:rPr>
                <w:rFonts w:ascii="方正仿宋_GBK" w:eastAsia="方正仿宋_GBK" w:hAnsiTheme="minorHAnsi" w:cstheme="minorBidi"/>
                <w:sz w:val="24"/>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《安全风险处置演练报告》《安全风险处置演练问题整改报告》等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每季度</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hint="eastAsia" w:ascii="方正仿宋_GBK" w:eastAsia="方正仿宋_GBK" w:cs="宋体" w:hAnsiTheme="minorHAnsi"/>
                <w:sz w:val="24"/>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02" w:type="dxa"/>
            <w:vAlign w:val="center"/>
            <w:vMerge w:val="restart"/>
            <w:textDirection w:val="lrTb"/>
            <w:noWrap w:val="false"/>
          </w:tcPr>
          <w:p>
            <w:pPr>
              <w:jc w:val="left"/>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统一应用系统运行监测维护</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《统一应用系统运行监测值班报告》等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每日</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hint="eastAsia" w:ascii="方正仿宋_GBK" w:eastAsia="方正仿宋_GBK" w:cs="宋体" w:hAnsiTheme="minorHAnsi"/>
                <w:sz w:val="24"/>
                <w:highlight w:val="none"/>
              </w:rPr>
              <w:t xml:space="preserve">4</w:t>
            </w:r>
            <w:r/>
          </w:p>
        </w:tc>
        <w:tc>
          <w:tcPr>
            <w:tcBorders>
              <w:top w:val="single" w:color="000000" w:sz="8" w:space="0"/>
              <w:left w:val="single" w:color="000000" w:sz="8" w:space="0"/>
              <w:bottom w:val="single" w:color="000000" w:sz="8" w:space="0"/>
              <w:right w:val="single" w:color="000000" w:sz="8" w:space="0"/>
            </w:tcBorders>
            <w:tcW w:w="2102" w:type="dxa"/>
            <w:vAlign w:val="center"/>
            <w:vMerge w:val="continue"/>
            <w:textDirection w:val="lrTb"/>
            <w:noWrap w:val="false"/>
          </w:tcPr>
          <w:p>
            <w:pPr>
              <w:jc w:val="left"/>
              <w:spacing w:line="320" w:lineRule="exact"/>
              <w:widowControl/>
              <w:rPr>
                <w:rFonts w:ascii="方正仿宋_GBK" w:eastAsia="方正仿宋_GBK" w:hAnsiTheme="minorHAnsi" w:cstheme="minorBidi"/>
                <w:sz w:val="24"/>
                <w:highlight w:val="none"/>
              </w:rPr>
            </w:pPr>
            <w:r>
              <w:rPr>
                <w:rFonts w:ascii="方正仿宋_GBK" w:eastAsia="方正仿宋_GBK" w:hAnsiTheme="minorHAnsi" w:cstheme="minorBidi"/>
                <w:sz w:val="24"/>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《统一应用系统运行监测评估报告》等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每季度</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hint="eastAsia" w:ascii="方正仿宋_GBK" w:eastAsia="方正仿宋_GBK" w:cs="宋体" w:hAnsiTheme="minorHAnsi"/>
                <w:sz w:val="24"/>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02" w:type="dxa"/>
            <w:vAlign w:val="center"/>
            <w:textDirection w:val="lrTb"/>
            <w:noWrap w:val="false"/>
          </w:tcPr>
          <w:p>
            <w:pPr>
              <w:jc w:val="left"/>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定点结算监控维护</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《定点结算监控值班报告》等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每日</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hint="eastAsia" w:ascii="方正仿宋_GBK" w:eastAsia="方正仿宋_GBK" w:cs="宋体" w:hAnsiTheme="minorHAnsi"/>
                <w:sz w:val="24"/>
                <w:highlight w:val="none"/>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02" w:type="dxa"/>
            <w:vAlign w:val="center"/>
            <w:textDirection w:val="lrTb"/>
            <w:noWrap w:val="false"/>
          </w:tcPr>
          <w:p>
            <w:pPr>
              <w:jc w:val="left"/>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业务经办监控维护</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《业务经办监控值班报告》等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每日</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ascii="方正仿宋_GBK" w:eastAsia="方正仿宋_GBK" w:cs="宋体" w:hAnsiTheme="minorHAnsi"/>
                <w:sz w:val="24"/>
                <w:highlight w:val="none"/>
              </w:rPr>
              <w:t xml:space="preserve">7</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02" w:type="dxa"/>
            <w:vAlign w:val="center"/>
            <w:textDirection w:val="lrTb"/>
            <w:noWrap w:val="false"/>
          </w:tcPr>
          <w:p>
            <w:pPr>
              <w:jc w:val="left"/>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问题和需求处理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通过全省需求管理平台流转</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按需</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ascii="方正仿宋_GBK" w:eastAsia="方正仿宋_GBK" w:cs="宋体" w:hAnsiTheme="minorHAnsi"/>
                <w:sz w:val="24"/>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02" w:type="dxa"/>
            <w:vAlign w:val="center"/>
            <w:textDirection w:val="lrTb"/>
            <w:noWrap w:val="false"/>
          </w:tcPr>
          <w:p>
            <w:pPr>
              <w:jc w:val="left"/>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需求变更响应</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通过全省需求管理平台流转</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按需</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ascii="方正仿宋_GBK" w:eastAsia="方正仿宋_GBK" w:cs="宋体" w:hAnsiTheme="minorHAnsi"/>
                <w:sz w:val="24"/>
                <w:highlight w:val="none"/>
              </w:rPr>
              <w:t xml:space="preserve">9</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02" w:type="dxa"/>
            <w:vAlign w:val="center"/>
            <w:textDirection w:val="lrTb"/>
            <w:noWrap w:val="false"/>
          </w:tcPr>
          <w:p>
            <w:pPr>
              <w:jc w:val="left"/>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测试和生产环境管理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《测试/生产环境清单》、《测试软件/产品发布手册》、《测试/生产环境备份和恢复方法手册》、《用户权限管理文档》、《环境变更记录》等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按需</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ascii="方正仿宋_GBK" w:eastAsia="方正仿宋_GBK" w:cs="宋体" w:hAnsiTheme="minorHAnsi"/>
                <w:sz w:val="24"/>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02" w:type="dxa"/>
            <w:vAlign w:val="center"/>
            <w:textDirection w:val="lrTb"/>
            <w:noWrap w:val="false"/>
          </w:tcPr>
          <w:p>
            <w:pPr>
              <w:jc w:val="left"/>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版本升级管理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通过全省需求管理平台流转</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按需</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hint="eastAsia" w:ascii="方正仿宋_GBK" w:eastAsia="方正仿宋_GBK" w:cs="宋体" w:hAnsiTheme="minorHAnsi"/>
                <w:sz w:val="24"/>
                <w:highlight w:val="none"/>
              </w:rPr>
              <w:t xml:space="preserve">1</w:t>
            </w:r>
            <w:r>
              <w:rPr>
                <w:rFonts w:ascii="方正仿宋_GBK" w:eastAsia="方正仿宋_GBK" w:cs="宋体" w:hAnsiTheme="minorHAnsi"/>
                <w:sz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02" w:type="dxa"/>
            <w:vAlign w:val="center"/>
            <w:textDirection w:val="lrTb"/>
            <w:noWrap w:val="false"/>
          </w:tcPr>
          <w:p>
            <w:pPr>
              <w:jc w:val="left"/>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数据质量管理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《全省医保数据质量周报》等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每周</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hint="eastAsia" w:ascii="方正仿宋_GBK" w:eastAsia="方正仿宋_GBK" w:cs="宋体" w:hAnsiTheme="minorHAnsi"/>
                <w:sz w:val="24"/>
                <w:highlight w:val="none"/>
              </w:rPr>
              <w:t xml:space="preserve">1</w:t>
            </w:r>
            <w:r>
              <w:rPr>
                <w:rFonts w:ascii="方正仿宋_GBK" w:eastAsia="方正仿宋_GBK" w:cs="宋体" w:hAnsiTheme="minorHAnsi"/>
                <w:sz w:val="24"/>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02" w:type="dxa"/>
            <w:vAlign w:val="center"/>
            <w:textDirection w:val="lrTb"/>
            <w:noWrap w:val="false"/>
          </w:tcPr>
          <w:p>
            <w:pPr>
              <w:jc w:val="left"/>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应用安全管理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《应用安全评估报告》等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每季度</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hint="eastAsia" w:ascii="方正仿宋_GBK" w:eastAsia="方正仿宋_GBK" w:cs="宋体" w:hAnsiTheme="minorHAnsi"/>
                <w:sz w:val="24"/>
                <w:highlight w:val="none"/>
              </w:rPr>
              <w:t xml:space="preserve">1</w:t>
            </w:r>
            <w:r>
              <w:rPr>
                <w:rFonts w:ascii="方正仿宋_GBK" w:eastAsia="方正仿宋_GBK" w:cs="宋体" w:hAnsiTheme="minorHAnsi"/>
                <w:sz w:val="24"/>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02" w:type="dxa"/>
            <w:vAlign w:val="center"/>
            <w:textDirection w:val="lrTb"/>
            <w:noWrap w:val="false"/>
          </w:tcPr>
          <w:p>
            <w:pPr>
              <w:jc w:val="left"/>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外部接口对接管理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《外部接口联调测试报告》、《外部接口清单》等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每月</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hint="eastAsia" w:ascii="方正仿宋_GBK" w:eastAsia="方正仿宋_GBK" w:cs="宋体" w:hAnsiTheme="minorHAnsi"/>
                <w:sz w:val="24"/>
                <w:highlight w:val="none"/>
              </w:rPr>
              <w:t xml:space="preserve">1</w:t>
            </w:r>
            <w:r>
              <w:rPr>
                <w:rFonts w:ascii="方正仿宋_GBK" w:eastAsia="方正仿宋_GBK" w:cs="宋体" w:hAnsiTheme="minorHAnsi"/>
                <w:sz w:val="24"/>
                <w:highlight w:val="none"/>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102" w:type="dxa"/>
            <w:vAlign w:val="center"/>
            <w:vMerge w:val="restart"/>
            <w:textDirection w:val="lrTb"/>
            <w:noWrap w:val="false"/>
          </w:tcPr>
          <w:p>
            <w:pPr>
              <w:jc w:val="left"/>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运维管理日常工作</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《运维管理日报》等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每日</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hint="eastAsia" w:ascii="方正仿宋_GBK" w:eastAsia="方正仿宋_GBK" w:cs="宋体" w:hAnsiTheme="minorHAnsi"/>
                <w:sz w:val="24"/>
                <w:highlight w:val="none"/>
              </w:rPr>
              <w:t xml:space="preserve">1</w:t>
            </w:r>
            <w:r>
              <w:rPr>
                <w:rFonts w:ascii="方正仿宋_GBK" w:eastAsia="方正仿宋_GBK" w:cs="宋体" w:hAnsiTheme="minorHAnsi"/>
                <w:sz w:val="24"/>
                <w:highlight w:val="none"/>
              </w:rPr>
              <w:t xml:space="preserve">5</w:t>
            </w:r>
            <w:r/>
          </w:p>
        </w:tc>
        <w:tc>
          <w:tcPr>
            <w:tcBorders>
              <w:top w:val="single" w:color="000000" w:sz="8" w:space="0"/>
              <w:left w:val="single" w:color="000000" w:sz="8" w:space="0"/>
              <w:bottom w:val="single" w:color="000000" w:sz="8" w:space="0"/>
              <w:right w:val="single" w:color="000000" w:sz="8" w:space="0"/>
            </w:tcBorders>
            <w:tcW w:w="2102" w:type="dxa"/>
            <w:vAlign w:val="center"/>
            <w:vMerge w:val="continue"/>
            <w:textDirection w:val="lrTb"/>
            <w:noWrap w:val="false"/>
          </w:tcPr>
          <w:p>
            <w:pPr>
              <w:jc w:val="left"/>
              <w:spacing w:line="320" w:lineRule="exact"/>
              <w:widowControl/>
              <w:rPr>
                <w:rFonts w:ascii="方正仿宋_GBK" w:eastAsia="方正仿宋_GBK" w:hAnsiTheme="minorHAnsi" w:cstheme="minorBidi"/>
                <w:sz w:val="24"/>
                <w:highlight w:val="none"/>
              </w:rPr>
            </w:pPr>
            <w:r>
              <w:rPr>
                <w:rFonts w:ascii="方正仿宋_GBK" w:eastAsia="方正仿宋_GBK" w:hAnsiTheme="minorHAnsi" w:cstheme="minorBidi"/>
                <w:sz w:val="24"/>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《运维管理周报》等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每周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hint="eastAsia" w:ascii="方正仿宋_GBK" w:eastAsia="方正仿宋_GBK" w:cs="宋体" w:hAnsiTheme="minorHAnsi"/>
                <w:sz w:val="24"/>
                <w:highlight w:val="none"/>
              </w:rPr>
              <w:t xml:space="preserve">1</w:t>
            </w:r>
            <w:r>
              <w:rPr>
                <w:rFonts w:ascii="方正仿宋_GBK" w:eastAsia="方正仿宋_GBK" w:cs="宋体" w:hAnsiTheme="minorHAnsi"/>
                <w:sz w:val="24"/>
                <w:highlight w:val="none"/>
              </w:rPr>
              <w:t xml:space="preserve">6</w:t>
            </w:r>
            <w:r/>
          </w:p>
        </w:tc>
        <w:tc>
          <w:tcPr>
            <w:tcBorders>
              <w:top w:val="single" w:color="000000" w:sz="8" w:space="0"/>
              <w:left w:val="single" w:color="000000" w:sz="8" w:space="0"/>
              <w:bottom w:val="single" w:color="000000" w:sz="8" w:space="0"/>
              <w:right w:val="single" w:color="000000" w:sz="8" w:space="0"/>
            </w:tcBorders>
            <w:tcW w:w="2102" w:type="dxa"/>
            <w:vAlign w:val="center"/>
            <w:vMerge w:val="continue"/>
            <w:textDirection w:val="lrTb"/>
            <w:noWrap w:val="false"/>
          </w:tcPr>
          <w:p>
            <w:pPr>
              <w:jc w:val="left"/>
              <w:spacing w:line="320" w:lineRule="exact"/>
              <w:widowControl/>
              <w:rPr>
                <w:rFonts w:ascii="方正仿宋_GBK" w:eastAsia="方正仿宋_GBK" w:hAnsiTheme="minorHAnsi" w:cstheme="minorBidi"/>
                <w:sz w:val="24"/>
                <w:highlight w:val="none"/>
              </w:rPr>
            </w:pPr>
            <w:r>
              <w:rPr>
                <w:rFonts w:ascii="方正仿宋_GBK" w:eastAsia="方正仿宋_GBK" w:hAnsiTheme="minorHAnsi" w:cstheme="minorBidi"/>
                <w:sz w:val="24"/>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《运维管理总结月报》、《运维服务自评报告》等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每月</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hint="eastAsia" w:ascii="方正仿宋_GBK" w:eastAsia="方正仿宋_GBK" w:cs="宋体" w:hAnsiTheme="minorHAnsi"/>
                <w:sz w:val="24"/>
                <w:highlight w:val="none"/>
              </w:rPr>
              <w:t xml:space="preserve">1</w:t>
            </w:r>
            <w:r>
              <w:rPr>
                <w:rFonts w:ascii="方正仿宋_GBK" w:eastAsia="方正仿宋_GBK" w:cs="宋体" w:hAnsiTheme="minorHAnsi"/>
                <w:sz w:val="24"/>
                <w:highlight w:val="none"/>
              </w:rPr>
              <w:t xml:space="preserve">7</w:t>
            </w:r>
            <w:r/>
          </w:p>
        </w:tc>
        <w:tc>
          <w:tcPr>
            <w:tcBorders>
              <w:top w:val="single" w:color="000000" w:sz="8" w:space="0"/>
              <w:left w:val="single" w:color="000000" w:sz="8" w:space="0"/>
              <w:bottom w:val="single" w:color="000000" w:sz="8" w:space="0"/>
              <w:right w:val="single" w:color="000000" w:sz="8" w:space="0"/>
            </w:tcBorders>
            <w:tcW w:w="2102" w:type="dxa"/>
            <w:vAlign w:val="center"/>
            <w:vMerge w:val="continue"/>
            <w:textDirection w:val="lrTb"/>
            <w:noWrap w:val="false"/>
          </w:tcPr>
          <w:p>
            <w:pPr>
              <w:jc w:val="left"/>
              <w:spacing w:line="320" w:lineRule="exact"/>
              <w:widowControl/>
              <w:rPr>
                <w:rFonts w:ascii="方正仿宋_GBK" w:eastAsia="方正仿宋_GBK" w:hAnsiTheme="minorHAnsi" w:cstheme="minorBidi"/>
                <w:sz w:val="24"/>
                <w:highlight w:val="none"/>
              </w:rPr>
            </w:pPr>
            <w:r>
              <w:rPr>
                <w:rFonts w:ascii="方正仿宋_GBK" w:eastAsia="方正仿宋_GBK" w:hAnsiTheme="minorHAnsi" w:cstheme="minorBidi"/>
                <w:sz w:val="24"/>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《运维管理总结季报》、《专项检查分析报告》等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每季度</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90" w:type="dxa"/>
            <w:vAlign w:val="center"/>
            <w:textDirection w:val="lrTb"/>
            <w:noWrap w:val="false"/>
          </w:tcPr>
          <w:p>
            <w:pPr>
              <w:jc w:val="center"/>
              <w:spacing w:line="320" w:lineRule="exact"/>
              <w:widowControl/>
              <w:rPr>
                <w:rFonts w:ascii="方正仿宋_GBK" w:eastAsia="方正仿宋_GBK" w:cs="宋体" w:hAnsiTheme="minorHAnsi"/>
                <w:sz w:val="24"/>
                <w:highlight w:val="none"/>
              </w:rPr>
            </w:pPr>
            <w:r>
              <w:rPr>
                <w:rFonts w:hint="eastAsia" w:ascii="方正仿宋_GBK" w:eastAsia="方正仿宋_GBK" w:cs="宋体" w:hAnsiTheme="minorHAnsi"/>
                <w:sz w:val="24"/>
                <w:highlight w:val="none"/>
              </w:rPr>
              <w:t xml:space="preserve">1</w:t>
            </w:r>
            <w:r>
              <w:rPr>
                <w:rFonts w:ascii="方正仿宋_GBK" w:eastAsia="方正仿宋_GBK" w:cs="宋体" w:hAnsiTheme="minorHAnsi"/>
                <w:sz w:val="24"/>
                <w:highlight w:val="none"/>
              </w:rPr>
              <w:t xml:space="preserve">8</w:t>
            </w:r>
            <w:r/>
          </w:p>
        </w:tc>
        <w:tc>
          <w:tcPr>
            <w:tcBorders>
              <w:top w:val="single" w:color="000000" w:sz="8" w:space="0"/>
              <w:left w:val="single" w:color="000000" w:sz="8" w:space="0"/>
              <w:bottom w:val="single" w:color="000000" w:sz="8" w:space="0"/>
              <w:right w:val="single" w:color="000000" w:sz="8" w:space="0"/>
            </w:tcBorders>
            <w:tcW w:w="2102" w:type="dxa"/>
            <w:vAlign w:val="center"/>
            <w:vMerge w:val="continue"/>
            <w:textDirection w:val="lrTb"/>
            <w:noWrap w:val="false"/>
          </w:tcPr>
          <w:p>
            <w:pPr>
              <w:jc w:val="left"/>
              <w:spacing w:line="320" w:lineRule="exact"/>
              <w:widowControl/>
              <w:rPr>
                <w:rFonts w:ascii="方正仿宋_GBK" w:eastAsia="方正仿宋_GBK" w:hAnsiTheme="minorHAnsi" w:cstheme="minorBidi"/>
                <w:sz w:val="24"/>
                <w:highlight w:val="none"/>
              </w:rPr>
            </w:pPr>
            <w:r>
              <w:rPr>
                <w:rFonts w:ascii="方正仿宋_GBK" w:eastAsia="方正仿宋_GBK" w:hAnsiTheme="minorHAnsi" w:cstheme="minorBidi"/>
                <w:sz w:val="24"/>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779" w:type="dxa"/>
            <w:vAlign w:val="center"/>
            <w:textDirection w:val="lrTb"/>
            <w:noWrap w:val="false"/>
          </w:tcPr>
          <w:p>
            <w:pP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《运维管理工作会议纪要》、《专题分析报告》等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98" w:type="dxa"/>
            <w:vAlign w:val="center"/>
            <w:textDirection w:val="lrTb"/>
            <w:noWrap w:val="false"/>
          </w:tcPr>
          <w:p>
            <w:pPr>
              <w:jc w:val="center"/>
              <w:spacing w:line="320" w:lineRule="exact"/>
              <w:widowControl/>
              <w:rPr>
                <w:rFonts w:ascii="方正仿宋_GBK" w:eastAsia="方正仿宋_GBK" w:hAnsiTheme="minorHAnsi" w:cstheme="minorBidi"/>
                <w:sz w:val="24"/>
                <w:highlight w:val="none"/>
              </w:rPr>
            </w:pPr>
            <w:r>
              <w:rPr>
                <w:rFonts w:hint="eastAsia" w:ascii="方正仿宋_GBK" w:eastAsia="方正仿宋_GBK" w:hAnsiTheme="minorHAnsi" w:cstheme="minorBidi"/>
                <w:sz w:val="24"/>
                <w:highlight w:val="none"/>
              </w:rPr>
              <w:t xml:space="preserve">按需</w:t>
            </w:r>
            <w:r/>
          </w:p>
        </w:tc>
      </w:tr>
    </w:tbl>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四</w:t>
      </w:r>
      <w:r>
        <w:rPr>
          <w:rFonts w:hint="eastAsia" w:ascii="Times New Roman" w:hAnsi="Times New Roman" w:eastAsia="方正黑体_GBK" w:cs="Times New Roman"/>
          <w:sz w:val="32"/>
          <w:szCs w:val="32"/>
          <w:highlight w:val="none"/>
        </w:rPr>
        <w:t xml:space="preserve">、运维服务期限</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本项目运维服务期限为</w:t>
      </w:r>
      <w:r>
        <w:rPr>
          <w:rFonts w:hint="eastAsia" w:ascii="Times New Roman" w:hAnsi="Times New Roman" w:eastAsia="方正仿宋_GBK" w:cs="Times New Roman"/>
          <w:sz w:val="32"/>
          <w:szCs w:val="32"/>
          <w:highlight w:val="none"/>
        </w:rPr>
        <w:t xml:space="preserve">自合同签订之日起</w:t>
      </w:r>
      <w:r>
        <w:rPr>
          <w:rFonts w:hint="eastAsia" w:ascii="Times New Roman" w:hAnsi="Times New Roman" w:eastAsia="方正仿宋_GBK" w:cs="Times New Roman"/>
          <w:sz w:val="32"/>
          <w:szCs w:val="32"/>
          <w:highlight w:val="none"/>
        </w:rPr>
        <w:t xml:space="preserve">2</w:t>
      </w:r>
      <w:r>
        <w:rPr>
          <w:rFonts w:hint="eastAsia" w:ascii="Times New Roman" w:hAnsi="Times New Roman" w:eastAsia="方正仿宋_GBK" w:cs="Times New Roman"/>
          <w:sz w:val="32"/>
          <w:szCs w:val="32"/>
          <w:highlight w:val="none"/>
        </w:rPr>
        <w:t xml:space="preserve">年。</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五、运维人员要求</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本项目采用外包模式，将运维服务外包给资质齐全、信誉优良的专业厂商，构建并形成综合一体的运行维护管理机制与模式。</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（一）运维人数要求</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本项目要求组建一支固定维护工程师的运维团队（首年65人，次年59人），其中首年51人次年45人集中驻场运维（具体人员驻场分配情况详见“运维岗位要求”），集中驻场地点按采购人要求。</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需提前一个月向采购人报告人员变更情况，且调入人员的资历和从业经验不低于调出人员，在确认不影响运维服务并经采购人许可后方可调换，并保证一段时间的并行转换期，否则可视为供应商违约，采购人可在项目验收综合考评时扣分，并减值支付合同款项。</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（二）运维岗位要求</w:t>
      </w:r>
      <w:r/>
    </w:p>
    <w:p>
      <w:pPr>
        <w:ind w:firstLine="640"/>
        <w:spacing w:line="560" w:lineRule="exact"/>
        <w:rPr>
          <w:rFonts w:ascii="Times New Roman" w:hAnsi="Times New Roman" w:eastAsia="方正仿宋_GBK" w:cs="Times New Roman"/>
          <w:b/>
          <w:bCs/>
          <w:i/>
          <w:iCs/>
          <w:sz w:val="32"/>
          <w:szCs w:val="32"/>
          <w:highlight w:val="none"/>
          <w:u w:val="single"/>
        </w:rPr>
      </w:pPr>
      <w:r>
        <w:rPr>
          <w:rFonts w:hint="eastAsia" w:ascii="Times New Roman" w:hAnsi="Times New Roman" w:eastAsia="方正仿宋_GBK" w:cs="Times New Roman"/>
          <w:i/>
          <w:iCs/>
          <w:sz w:val="32"/>
          <w:szCs w:val="32"/>
          <w:highlight w:val="none"/>
          <w:u w:val="single"/>
        </w:rPr>
        <w:t xml:space="preserve">投标人需提供以下运维岗位要求清单“资质要求”列中16名负责人员的名单（包括签订的正式劳动合同和近半年内（2026年1月至2026年6月）任一自然月的社保缴费证明），上传至符合性审查节点</w:t>
      </w:r>
      <w:r>
        <w:rPr>
          <w:rFonts w:hint="eastAsia" w:ascii="Times New Roman" w:hAnsi="Times New Roman" w:eastAsia="方正仿宋_GBK" w:cs="Times New Roman"/>
          <w:b/>
          <w:bCs/>
          <w:i/>
          <w:iCs/>
          <w:sz w:val="32"/>
          <w:szCs w:val="32"/>
          <w:highlight w:val="none"/>
          <w:u w:val="single"/>
        </w:rPr>
        <w:t xml:space="preserve">。</w:t>
      </w:r>
      <w:r/>
    </w:p>
    <w:tbl>
      <w:tblPr>
        <w:tblStyle w:val="9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3"/>
        <w:gridCol w:w="548"/>
        <w:gridCol w:w="794"/>
        <w:gridCol w:w="2491"/>
        <w:gridCol w:w="733"/>
        <w:gridCol w:w="2253"/>
        <w:gridCol w:w="1008"/>
      </w:tblGrid>
      <w:tr>
        <w:trPr>
          <w:trHeight w:val="380"/>
        </w:trPr>
        <w:tc>
          <w:tcPr>
            <w:tcW w:w="473" w:type="dxa"/>
            <w:vAlign w:val="center"/>
            <w:textDirection w:val="lrTb"/>
            <w:noWrap w:val="false"/>
          </w:tcPr>
          <w:p>
            <w:pPr>
              <w:jc w:val="center"/>
              <w:spacing w:line="0" w:lineRule="atLeast"/>
              <w:widowControl/>
              <w:rPr>
                <w:rFonts w:hint="eastAsia" w:ascii="方正仿宋_GBK" w:hAnsi="等线" w:eastAsia="方正仿宋_GBK" w:cs="宋体"/>
                <w:b/>
                <w:bCs/>
                <w:color w:val="000000"/>
                <w:sz w:val="24"/>
                <w:szCs w:val="24"/>
                <w:highlight w:val="none"/>
              </w:rPr>
            </w:pPr>
            <w:r>
              <w:rPr>
                <w:rFonts w:hint="eastAsia" w:ascii="方正仿宋_GBK" w:hAnsi="等线" w:eastAsia="方正仿宋_GBK" w:cs="宋体"/>
                <w:b/>
                <w:bCs/>
                <w:color w:val="000000"/>
                <w:sz w:val="24"/>
                <w:szCs w:val="24"/>
                <w:highlight w:val="none"/>
              </w:rPr>
              <w:t xml:space="preserve">序号</w:t>
            </w:r>
            <w:r/>
          </w:p>
        </w:tc>
        <w:tc>
          <w:tcPr>
            <w:gridSpan w:val="2"/>
            <w:tcW w:w="1342" w:type="dxa"/>
            <w:vAlign w:val="center"/>
            <w:textDirection w:val="lrTb"/>
            <w:noWrap w:val="false"/>
          </w:tcPr>
          <w:p>
            <w:pPr>
              <w:jc w:val="center"/>
              <w:spacing w:line="0" w:lineRule="atLeast"/>
              <w:widowControl/>
              <w:rPr>
                <w:rFonts w:hint="eastAsia" w:ascii="方正仿宋_GBK" w:hAnsi="等线" w:eastAsia="方正仿宋_GBK" w:cs="宋体"/>
                <w:b/>
                <w:bCs/>
                <w:color w:val="000000"/>
                <w:sz w:val="24"/>
                <w:szCs w:val="24"/>
                <w:highlight w:val="none"/>
              </w:rPr>
            </w:pPr>
            <w:r>
              <w:rPr>
                <w:rFonts w:hint="eastAsia" w:ascii="方正仿宋_GBK" w:hAnsi="等线" w:eastAsia="方正仿宋_GBK" w:cs="宋体"/>
                <w:b/>
                <w:bCs/>
                <w:color w:val="000000"/>
                <w:sz w:val="24"/>
                <w:szCs w:val="24"/>
                <w:highlight w:val="none"/>
              </w:rPr>
              <w:t xml:space="preserve">职责</w:t>
            </w:r>
            <w:r/>
          </w:p>
        </w:tc>
        <w:tc>
          <w:tcPr>
            <w:tcW w:w="2491" w:type="dxa"/>
            <w:vAlign w:val="center"/>
            <w:textDirection w:val="lrTb"/>
            <w:noWrap w:val="false"/>
          </w:tcPr>
          <w:p>
            <w:pPr>
              <w:jc w:val="center"/>
              <w:spacing w:line="0" w:lineRule="atLeast"/>
              <w:widowControl/>
              <w:rPr>
                <w:rFonts w:hint="eastAsia" w:ascii="方正仿宋_GBK" w:hAnsi="等线" w:eastAsia="方正仿宋_GBK" w:cs="宋体"/>
                <w:b/>
                <w:bCs/>
                <w:color w:val="000000"/>
                <w:sz w:val="24"/>
                <w:szCs w:val="24"/>
                <w:highlight w:val="none"/>
              </w:rPr>
            </w:pPr>
            <w:r>
              <w:rPr>
                <w:rFonts w:hint="eastAsia" w:ascii="方正仿宋_GBK" w:hAnsi="等线" w:eastAsia="方正仿宋_GBK" w:cs="宋体"/>
                <w:b/>
                <w:bCs/>
                <w:color w:val="000000"/>
                <w:sz w:val="24"/>
                <w:szCs w:val="24"/>
                <w:highlight w:val="none"/>
              </w:rPr>
              <w:t xml:space="preserve">主要任务</w:t>
            </w:r>
            <w:r/>
          </w:p>
        </w:tc>
        <w:tc>
          <w:tcPr>
            <w:tcW w:w="733" w:type="dxa"/>
            <w:vAlign w:val="center"/>
            <w:textDirection w:val="lrTb"/>
            <w:noWrap w:val="false"/>
          </w:tcPr>
          <w:p>
            <w:pPr>
              <w:jc w:val="center"/>
              <w:spacing w:line="0" w:lineRule="atLeast"/>
              <w:widowControl/>
              <w:rPr>
                <w:rFonts w:hint="eastAsia" w:ascii="方正仿宋_GBK" w:hAnsi="等线" w:eastAsia="方正仿宋_GBK" w:cs="宋体"/>
                <w:b/>
                <w:bCs/>
                <w:color w:val="000000"/>
                <w:sz w:val="24"/>
                <w:szCs w:val="24"/>
                <w:highlight w:val="none"/>
              </w:rPr>
            </w:pPr>
            <w:r>
              <w:rPr>
                <w:rFonts w:hint="eastAsia" w:ascii="方正仿宋_GBK" w:hAnsi="等线" w:eastAsia="方正仿宋_GBK" w:cs="宋体"/>
                <w:b/>
                <w:bCs/>
                <w:color w:val="000000"/>
                <w:sz w:val="24"/>
                <w:szCs w:val="24"/>
                <w:highlight w:val="none"/>
              </w:rPr>
              <w:t xml:space="preserve">配置人数</w:t>
            </w:r>
            <w:r/>
          </w:p>
        </w:tc>
        <w:tc>
          <w:tcPr>
            <w:tcW w:w="2253" w:type="dxa"/>
            <w:vAlign w:val="center"/>
            <w:textDirection w:val="lrTb"/>
            <w:noWrap w:val="false"/>
          </w:tcPr>
          <w:p>
            <w:pPr>
              <w:jc w:val="center"/>
              <w:spacing w:line="0" w:lineRule="atLeast"/>
              <w:widowControl/>
              <w:rPr>
                <w:rFonts w:hint="eastAsia" w:ascii="方正仿宋_GBK" w:hAnsi="等线" w:eastAsia="方正仿宋_GBK" w:cs="宋体"/>
                <w:b/>
                <w:bCs/>
                <w:color w:val="000000"/>
                <w:sz w:val="24"/>
                <w:szCs w:val="24"/>
                <w:highlight w:val="none"/>
              </w:rPr>
            </w:pPr>
            <w:r>
              <w:rPr>
                <w:rFonts w:hint="eastAsia" w:ascii="方正仿宋_GBK" w:hAnsi="等线" w:eastAsia="方正仿宋_GBK" w:cs="宋体"/>
                <w:b/>
                <w:bCs/>
                <w:color w:val="000000"/>
                <w:sz w:val="24"/>
                <w:szCs w:val="24"/>
                <w:highlight w:val="none"/>
              </w:rPr>
              <w:t xml:space="preserve">资质要求</w:t>
            </w:r>
            <w:r/>
          </w:p>
        </w:tc>
        <w:tc>
          <w:tcPr>
            <w:tcW w:w="1008" w:type="dxa"/>
            <w:vAlign w:val="center"/>
            <w:textDirection w:val="lrTb"/>
            <w:noWrap w:val="false"/>
          </w:tcPr>
          <w:p>
            <w:pPr>
              <w:jc w:val="center"/>
              <w:spacing w:line="0" w:lineRule="atLeast"/>
              <w:widowControl/>
              <w:rPr>
                <w:rFonts w:hint="eastAsia" w:ascii="方正仿宋_GBK" w:hAnsi="等线" w:eastAsia="方正仿宋_GBK" w:cs="宋体"/>
                <w:b/>
                <w:bCs/>
                <w:color w:val="000000"/>
                <w:sz w:val="24"/>
                <w:szCs w:val="24"/>
                <w:highlight w:val="none"/>
              </w:rPr>
            </w:pPr>
            <w:r>
              <w:rPr>
                <w:rFonts w:hint="eastAsia" w:ascii="方正仿宋_GBK" w:hAnsi="等线" w:eastAsia="方正仿宋_GBK" w:cs="宋体"/>
                <w:b/>
                <w:bCs/>
                <w:color w:val="000000"/>
                <w:sz w:val="24"/>
                <w:szCs w:val="24"/>
                <w:highlight w:val="none"/>
              </w:rPr>
              <w:t xml:space="preserve">备注</w:t>
            </w:r>
            <w:r/>
          </w:p>
        </w:tc>
      </w:tr>
      <w:tr>
        <w:trPr>
          <w:trHeight w:val="930"/>
        </w:trPr>
        <w:tc>
          <w:tcPr>
            <w:tcW w:w="47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1</w:t>
            </w:r>
            <w:r/>
          </w:p>
        </w:tc>
        <w:tc>
          <w:tcPr>
            <w:tcW w:w="548" w:type="dxa"/>
            <w:vAlign w:val="center"/>
            <w:vMerge w:val="restart"/>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平台运行监测</w:t>
            </w:r>
            <w:r/>
          </w:p>
        </w:tc>
        <w:tc>
          <w:tcPr>
            <w:tcW w:w="794"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项目管理</w:t>
            </w:r>
            <w:r/>
          </w:p>
        </w:tc>
        <w:tc>
          <w:tcPr>
            <w:tcW w:w="2491"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宋体" w:eastAsia="方正仿宋_GBK" w:cs="宋体"/>
                <w:color w:val="000000"/>
                <w:szCs w:val="21"/>
                <w:highlight w:val="none"/>
              </w:rPr>
              <w:t xml:space="preserve">负责项目全流程咨询和管理，领导项目团队按时优质完成全部工作任务，确保运维目标实现。</w:t>
            </w:r>
            <w:r/>
          </w:p>
        </w:tc>
        <w:tc>
          <w:tcPr>
            <w:tcW w:w="73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2</w:t>
            </w:r>
            <w:r/>
          </w:p>
        </w:tc>
        <w:tc>
          <w:tcPr>
            <w:tcW w:w="2253"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负责人员 2名，均需持有人社部“信息系统项目管理师”证书，或具备不少于5年类似信息化项目管理经历。</w:t>
            </w:r>
            <w:r/>
          </w:p>
        </w:tc>
        <w:tc>
          <w:tcPr>
            <w:tcW w:w="1008"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需驻场</w:t>
            </w:r>
            <w:r/>
          </w:p>
        </w:tc>
      </w:tr>
      <w:tr>
        <w:trPr>
          <w:trHeight w:val="1860"/>
        </w:trPr>
        <w:tc>
          <w:tcPr>
            <w:tcW w:w="47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2</w:t>
            </w:r>
            <w:r/>
          </w:p>
        </w:tc>
        <w:tc>
          <w:tcPr>
            <w:tcW w:w="548" w:type="dxa"/>
            <w:vAlign w:val="center"/>
            <w:vMerge w:val="continue"/>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r>
            <w:r/>
          </w:p>
        </w:tc>
        <w:tc>
          <w:tcPr>
            <w:tcW w:w="794"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值班巡检</w:t>
            </w:r>
            <w:r/>
          </w:p>
        </w:tc>
        <w:tc>
          <w:tcPr>
            <w:tcW w:w="2491"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宋体" w:eastAsia="方正仿宋_GBK" w:cs="宋体"/>
                <w:color w:val="000000"/>
                <w:szCs w:val="21"/>
                <w:highlight w:val="none"/>
              </w:rPr>
              <w:t xml:space="preserve">负责系统日常巡检，7</w:t>
            </w:r>
            <w:r>
              <w:rPr>
                <w:rFonts w:hint="eastAsia" w:ascii="等线" w:hAnsi="等线" w:eastAsia="等线" w:cs="宋体"/>
                <w:color w:val="000000"/>
                <w:szCs w:val="21"/>
                <w:highlight w:val="none"/>
              </w:rPr>
              <w:t xml:space="preserve">×</w:t>
            </w:r>
            <w:r>
              <w:rPr>
                <w:rFonts w:hint="eastAsia" w:ascii="方正仿宋_GBK" w:hAnsi="宋体" w:eastAsia="方正仿宋_GBK" w:cs="宋体"/>
                <w:color w:val="000000"/>
                <w:szCs w:val="21"/>
                <w:highlight w:val="none"/>
              </w:rPr>
              <w:t xml:space="preserve">24小时实时监测平台运行情况，包括但不限于900余项应用系统运行指标、1000余项系统依赖组件运行指标、辅助检查云平台性能指标，及时协调组织各方进行问题和故障分析处理。</w:t>
            </w:r>
            <w:r/>
          </w:p>
        </w:tc>
        <w:tc>
          <w:tcPr>
            <w:tcW w:w="73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4</w:t>
            </w:r>
            <w:r/>
          </w:p>
        </w:tc>
        <w:tc>
          <w:tcPr>
            <w:tcW w:w="2253"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其中负责人员1名，需持有注册信息安全专业人员（CISP）证书，或信息安全工程师（中级）证书，或具备不少于3年类似信息化项目运行监测经历；其他人员需具备不少于1年类似信息化项目运行监测经历。</w:t>
            </w:r>
            <w:r/>
          </w:p>
        </w:tc>
        <w:tc>
          <w:tcPr>
            <w:tcW w:w="1008"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需驻场</w:t>
            </w:r>
            <w:r/>
          </w:p>
        </w:tc>
      </w:tr>
      <w:tr>
        <w:trPr>
          <w:trHeight w:val="1550"/>
        </w:trPr>
        <w:tc>
          <w:tcPr>
            <w:tcW w:w="47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3</w:t>
            </w:r>
            <w:r/>
          </w:p>
        </w:tc>
        <w:tc>
          <w:tcPr>
            <w:tcW w:w="548" w:type="dxa"/>
            <w:vAlign w:val="center"/>
            <w:vMerge w:val="continue"/>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r>
            <w:r/>
          </w:p>
        </w:tc>
        <w:tc>
          <w:tcPr>
            <w:tcW w:w="794"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性能调优</w:t>
            </w:r>
            <w:r/>
          </w:p>
        </w:tc>
        <w:tc>
          <w:tcPr>
            <w:tcW w:w="2491"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宋体" w:eastAsia="方正仿宋_GBK" w:cs="宋体"/>
                <w:color w:val="000000"/>
                <w:szCs w:val="21"/>
                <w:highlight w:val="none"/>
              </w:rPr>
              <w:t xml:space="preserve">负责系统性能调优，包括架构规划、资源分配、系统部署、版本管理、版本更新、环境优化等内容。</w:t>
            </w:r>
            <w:r/>
          </w:p>
        </w:tc>
        <w:tc>
          <w:tcPr>
            <w:tcW w:w="73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2</w:t>
            </w:r>
            <w:r/>
          </w:p>
        </w:tc>
        <w:tc>
          <w:tcPr>
            <w:tcW w:w="2253"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其中负责人员1名，需持有ITSS服务工程师证书，或系统架构设计师（高级）证书，或具备不少于3年类似信息化项目性能调优经历；其他人员需具备不少于1年类似信息化项目性能调优经历。</w:t>
            </w:r>
            <w:r/>
          </w:p>
        </w:tc>
        <w:tc>
          <w:tcPr>
            <w:tcW w:w="1008"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需驻场</w:t>
            </w:r>
            <w:r/>
          </w:p>
        </w:tc>
      </w:tr>
      <w:tr>
        <w:trPr>
          <w:trHeight w:val="1240"/>
        </w:trPr>
        <w:tc>
          <w:tcPr>
            <w:tcW w:w="47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4</w:t>
            </w:r>
            <w:r/>
          </w:p>
        </w:tc>
        <w:tc>
          <w:tcPr>
            <w:tcW w:w="548" w:type="dxa"/>
            <w:vAlign w:val="center"/>
            <w:vMerge w:val="continue"/>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r>
            <w:r/>
          </w:p>
        </w:tc>
        <w:tc>
          <w:tcPr>
            <w:tcW w:w="794"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安全管理</w:t>
            </w:r>
            <w:r/>
          </w:p>
        </w:tc>
        <w:tc>
          <w:tcPr>
            <w:tcW w:w="2491" w:type="dxa"/>
            <w:vAlign w:val="center"/>
            <w:textDirection w:val="lrTb"/>
            <w:noWrap w:val="false"/>
          </w:tcPr>
          <w:p>
            <w:pPr>
              <w:jc w:val="left"/>
              <w:spacing w:line="0" w:lineRule="atLeast"/>
              <w:widowControl/>
              <w:rPr>
                <w:rFonts w:hint="eastAsia" w:ascii="方正仿宋_GBK" w:hAnsi="等线" w:eastAsia="方正仿宋_GBK" w:cs="宋体"/>
                <w:color w:val="1f2329"/>
                <w:szCs w:val="21"/>
                <w:highlight w:val="none"/>
              </w:rPr>
            </w:pPr>
            <w:r>
              <w:rPr>
                <w:rFonts w:hint="eastAsia" w:ascii="方正仿宋_GBK" w:hAnsi="宋体" w:eastAsia="方正仿宋_GBK" w:cs="宋体"/>
                <w:color w:val="000000"/>
                <w:szCs w:val="21"/>
                <w:highlight w:val="none"/>
              </w:rPr>
              <w:t xml:space="preserve">负责系统信息安全，及时响应处理入侵类、泄密类、突发类安全事件；使用软硬件工具开展系统备份管理，定期进行数据库密码的修改和检查验证，确保平稳过渡；配合总集定期开展风险评估和安全演练。</w:t>
            </w:r>
            <w:r/>
          </w:p>
        </w:tc>
        <w:tc>
          <w:tcPr>
            <w:tcW w:w="73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1</w:t>
            </w:r>
            <w:r/>
          </w:p>
        </w:tc>
        <w:tc>
          <w:tcPr>
            <w:tcW w:w="2253"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其中负责人员1名，需持有注册信息安全专业人员（CISP）证书，或具备不少于3年类似信息化项目安全管理经历。</w:t>
            </w:r>
            <w:r/>
          </w:p>
        </w:tc>
        <w:tc>
          <w:tcPr>
            <w:tcW w:w="1008"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需驻场</w:t>
            </w:r>
            <w:r/>
          </w:p>
        </w:tc>
      </w:tr>
      <w:tr>
        <w:trPr>
          <w:trHeight w:val="1800"/>
        </w:trPr>
        <w:tc>
          <w:tcPr>
            <w:tcW w:w="47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5</w:t>
            </w:r>
            <w:r/>
          </w:p>
        </w:tc>
        <w:tc>
          <w:tcPr>
            <w:tcW w:w="548" w:type="dxa"/>
            <w:vAlign w:val="center"/>
            <w:vMerge w:val="continue"/>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r>
            <w:r/>
          </w:p>
        </w:tc>
        <w:tc>
          <w:tcPr>
            <w:tcW w:w="794"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数据管理</w:t>
            </w:r>
            <w:r/>
          </w:p>
        </w:tc>
        <w:tc>
          <w:tcPr>
            <w:tcW w:w="2491"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宋体" w:eastAsia="方正仿宋_GBK" w:cs="宋体"/>
                <w:color w:val="000000"/>
                <w:szCs w:val="21"/>
                <w:highlight w:val="none"/>
              </w:rPr>
              <w:t xml:space="preserve">按照医保信息平台医保数据管理要求，开展数据归集、变更、提取与统计分析等；通过对应用系统、中间件、数据库、云平台、硬件设备进行检查，采用程序跟踪和调试等手段，解决一些表象不明、原因不定的数据问题；对于需要修改后台数据处理的问题，经采购人同意后，在后台数据库进行相关数据处理；为系统运维组提供数据库、数据中台相关工作的技术支持。</w:t>
            </w:r>
            <w:r/>
          </w:p>
        </w:tc>
        <w:tc>
          <w:tcPr>
            <w:tcW w:w="73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6</w:t>
            </w:r>
            <w:r/>
          </w:p>
        </w:tc>
        <w:tc>
          <w:tcPr>
            <w:tcW w:w="2253"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其中负责人员2名，需持有高级数据库管理工程师证书，或系统集成项目管理工程师（中级）证书，或需具备不少于3年类似信息化项目数据管理经验；其他人员需具备不少于1年类似信息化项目数据管理经历</w:t>
            </w:r>
            <w:r/>
          </w:p>
        </w:tc>
        <w:tc>
          <w:tcPr>
            <w:tcW w:w="1008"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需驻场</w:t>
            </w:r>
            <w:r/>
          </w:p>
        </w:tc>
      </w:tr>
      <w:tr>
        <w:trPr>
          <w:trHeight w:val="1338"/>
        </w:trPr>
        <w:tc>
          <w:tcPr>
            <w:tcW w:w="47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r>
            <w:r/>
          </w:p>
        </w:tc>
        <w:tc>
          <w:tcPr>
            <w:tcW w:w="548" w:type="dxa"/>
            <w:vAlign w:val="center"/>
            <w:vMerge w:val="restart"/>
            <w:textDirection w:val="lrTb"/>
            <w:noWrap w:val="false"/>
          </w:tcPr>
          <w:p>
            <w:pPr>
              <w:jc w:val="center"/>
              <w:spacing w:line="0" w:lineRule="atLeast"/>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业务子系统运 行维护</w:t>
            </w:r>
            <w:r/>
          </w:p>
        </w:tc>
        <w:tc>
          <w:tcPr>
            <w:tcW w:w="794"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宋体" w:eastAsia="方正仿宋_GBK" w:cs="宋体"/>
                <w:color w:val="000000"/>
                <w:szCs w:val="21"/>
                <w:highlight w:val="none"/>
              </w:rPr>
              <w:t xml:space="preserve">医保业务基础子系统运维</w:t>
            </w:r>
            <w:r/>
          </w:p>
        </w:tc>
        <w:tc>
          <w:tcPr>
            <w:tcW w:w="2491" w:type="dxa"/>
            <w:vAlign w:val="center"/>
            <w:textDirection w:val="lrTb"/>
            <w:noWrap w:val="false"/>
          </w:tcPr>
          <w:p>
            <w:pPr>
              <w:jc w:val="left"/>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医保业务基础子系统日常运维管理和问题响应支持，包括但不限于：</w:t>
            </w:r>
            <w:r/>
          </w:p>
          <w:p>
            <w:pPr>
              <w:jc w:val="left"/>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1.参保变更类业务：单位、职工、灵活就业、居民的参保变更等业务，1人；</w:t>
            </w:r>
            <w:r/>
          </w:p>
          <w:p>
            <w:pPr>
              <w:jc w:val="left"/>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2.征缴缴费类业务：单位、灵活就业、居民的核定、征集、到账等业务，1人；</w:t>
            </w:r>
            <w:r/>
          </w:p>
          <w:p>
            <w:pPr>
              <w:jc w:val="left"/>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3.参保关系转移类业务：省内、省外的线上或线下转入转出类业务等，1人；</w:t>
            </w:r>
            <w:r/>
          </w:p>
          <w:p>
            <w:pPr>
              <w:jc w:val="left"/>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4.税务对接类业务：单位、灵活就业、居民、特殊缴费、对账、比对类等相关业务，1人；</w:t>
            </w:r>
            <w:r/>
          </w:p>
          <w:p>
            <w:pPr>
              <w:jc w:val="left"/>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5.业财类业务：业财收入、支出类业务，1人；</w:t>
            </w:r>
            <w:r/>
          </w:p>
          <w:p>
            <w:pPr>
              <w:jc w:val="left"/>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6.医保接口类业务：向定点医药机构免费提供，并在规定时间内完成基于国家医保信息平台标准规范的基础信息、医保结算、月结对账、机构服务、信息采集等相关接口培训、联调测试、问题排查处理服务，1人；</w:t>
            </w:r>
            <w:r/>
          </w:p>
          <w:p>
            <w:pPr>
              <w:jc w:val="left"/>
              <w:spacing w:line="0" w:lineRule="atLeast"/>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7.定点管理类业务：定点服务范围管理、定点医药机构属性管理、定点银行账户管理、定点医师管理、定点开通病种管理等，1人；</w:t>
            </w:r>
            <w:r/>
          </w:p>
          <w:p>
            <w:pPr>
              <w:jc w:val="left"/>
              <w:spacing w:line="0" w:lineRule="atLeast"/>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8.个人待遇结算类业务：零星报销登记、零星报销门诊结算、零星报销住院结算、零星报销受理回退、零星报销复核、零星报销二次复核、零星报销三次复核、零星报销结算回退，1人；</w:t>
            </w:r>
            <w:r/>
          </w:p>
          <w:p>
            <w:pPr>
              <w:jc w:val="left"/>
              <w:spacing w:line="0" w:lineRule="atLeast"/>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9.个人待遇申报类业务：门慢门特申报、门慢门特审核、异地就医申报、异地就医审核、转外就医申报、转外就医审核、特药申报、特药审核、意外伤害申报、意外伤害审核等，1人；</w:t>
            </w:r>
            <w:r/>
          </w:p>
          <w:p>
            <w:pPr>
              <w:jc w:val="left"/>
              <w:spacing w:line="0" w:lineRule="atLeast"/>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10.生育待遇类：生育登记、生育医疗费登记、生育医疗费核定、生育津贴核定、生育津贴核定复核、生育营养费等，1人；</w:t>
            </w:r>
            <w:r/>
          </w:p>
          <w:p>
            <w:pPr>
              <w:jc w:val="left"/>
              <w:spacing w:line="0" w:lineRule="atLeast"/>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11.医保目录类：药品属性管理、诊疗属性管理、耗材属性管理、医保目录自付比例管理、医保目录限价管理等，0.5人；</w:t>
            </w:r>
            <w:r/>
          </w:p>
          <w:p>
            <w:pPr>
              <w:jc w:val="left"/>
              <w:spacing w:line="0" w:lineRule="atLeast"/>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12.机构结算类业务：总账对账日结果、总账对账月结果、月结算数据月度固化汇总、月结算数据每日固化汇总等，0.5人；</w:t>
            </w:r>
            <w:r/>
          </w:p>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宋体" w:eastAsia="方正仿宋_GBK" w:cs="宋体"/>
                <w:color w:val="000000"/>
                <w:szCs w:val="21"/>
                <w:highlight w:val="none"/>
              </w:rPr>
              <w:t xml:space="preserve">13.外部对接：医惠保、公服接口，公安、民政等数据共享，1人。</w:t>
            </w:r>
            <w:r/>
          </w:p>
        </w:tc>
        <w:tc>
          <w:tcPr>
            <w:tcW w:w="73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12</w:t>
            </w:r>
            <w:r/>
          </w:p>
        </w:tc>
        <w:tc>
          <w:tcPr>
            <w:tcW w:w="2253" w:type="dxa"/>
            <w:vAlign w:val="center"/>
            <w:vMerge w:val="restart"/>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其中负责人员2名，需持有ITSS服务工程师证书，或软件设计师（中级）证书，或软件评测师（中级）证书，或系统规划与管理师（高级）证书，或信息安全保障人员认证（CISAW）证书，或具备不少于3年类似信息化项目运维经历；其他人员需具备不少于1年类似信息化项目运维经历。</w:t>
            </w:r>
            <w:r/>
          </w:p>
        </w:tc>
        <w:tc>
          <w:tcPr>
            <w:tcW w:w="1008"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至少8人需驻场，其他人员需按照采购人要求随时提供现场服务</w:t>
            </w:r>
            <w:r/>
          </w:p>
        </w:tc>
      </w:tr>
      <w:tr>
        <w:trPr>
          <w:trHeight w:val="2557"/>
        </w:trPr>
        <w:tc>
          <w:tcPr>
            <w:tcW w:w="47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7</w:t>
            </w:r>
            <w:r/>
          </w:p>
        </w:tc>
        <w:tc>
          <w:tcPr>
            <w:tcW w:w="548" w:type="dxa"/>
            <w:vAlign w:val="center"/>
            <w:vMerge w:val="continue"/>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r>
            <w:r/>
          </w:p>
        </w:tc>
        <w:tc>
          <w:tcPr>
            <w:tcW w:w="794"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内部统一门户、基础信息管理</w:t>
            </w:r>
            <w:r/>
          </w:p>
        </w:tc>
        <w:tc>
          <w:tcPr>
            <w:tcW w:w="2491"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宋体" w:eastAsia="方正仿宋_GBK" w:cs="宋体"/>
                <w:color w:val="000000"/>
                <w:szCs w:val="21"/>
                <w:highlight w:val="none"/>
              </w:rPr>
              <w:t xml:space="preserve">内部统一门户子系统、基础信息管理子系统日常运维管理和问题响应支持，包括但不限于组织机构配置、用户注册维护、权限管理、用户角色管理、子系统资源维护、菜单维护等。</w:t>
            </w:r>
            <w:r/>
          </w:p>
        </w:tc>
        <w:tc>
          <w:tcPr>
            <w:tcW w:w="73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1</w:t>
            </w:r>
            <w:r/>
          </w:p>
        </w:tc>
        <w:tc>
          <w:tcPr>
            <w:tcW w:w="2253" w:type="dxa"/>
            <w:vAlign w:val="center"/>
            <w:vMerge w:val="continue"/>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r>
            <w:r/>
          </w:p>
        </w:tc>
        <w:tc>
          <w:tcPr>
            <w:tcW w:w="1008"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需驻场</w:t>
            </w:r>
            <w:r/>
          </w:p>
        </w:tc>
      </w:tr>
      <w:tr>
        <w:trPr>
          <w:trHeight w:val="2963"/>
        </w:trPr>
        <w:tc>
          <w:tcPr>
            <w:tcW w:w="47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8</w:t>
            </w:r>
            <w:r/>
          </w:p>
        </w:tc>
        <w:tc>
          <w:tcPr>
            <w:tcW w:w="548" w:type="dxa"/>
            <w:vAlign w:val="center"/>
            <w:vMerge w:val="continue"/>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r>
            <w:r/>
          </w:p>
        </w:tc>
        <w:tc>
          <w:tcPr>
            <w:tcW w:w="794"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宋体" w:eastAsia="方正仿宋_GBK" w:cs="宋体"/>
                <w:color w:val="000000"/>
                <w:szCs w:val="21"/>
                <w:highlight w:val="none"/>
              </w:rPr>
              <w:t xml:space="preserve">内部控制子系统运维</w:t>
            </w:r>
            <w:r/>
          </w:p>
        </w:tc>
        <w:tc>
          <w:tcPr>
            <w:tcW w:w="2491"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宋体" w:eastAsia="方正仿宋_GBK" w:cs="宋体"/>
                <w:color w:val="000000"/>
                <w:szCs w:val="21"/>
                <w:highlight w:val="none"/>
              </w:rPr>
              <w:t xml:space="preserve">内控子系统日常运维管理和问题响应支持，包括但不限于系统功能与疑点规则评估，基于实际运行数据迭代优化规则与阈值参数，新增或修改疑点规则，动态适配政策变化与监管重点，内控相关数据归集等。</w:t>
            </w:r>
            <w:r/>
          </w:p>
        </w:tc>
        <w:tc>
          <w:tcPr>
            <w:tcW w:w="73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1</w:t>
            </w:r>
            <w:r/>
          </w:p>
        </w:tc>
        <w:tc>
          <w:tcPr>
            <w:tcW w:w="2253" w:type="dxa"/>
            <w:vAlign w:val="center"/>
            <w:vMerge w:val="continue"/>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r>
            <w:r/>
          </w:p>
        </w:tc>
        <w:tc>
          <w:tcPr>
            <w:tcW w:w="1008"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需驻场</w:t>
            </w:r>
            <w:r/>
          </w:p>
        </w:tc>
      </w:tr>
      <w:tr>
        <w:trPr>
          <w:trHeight w:val="620"/>
        </w:trPr>
        <w:tc>
          <w:tcPr>
            <w:tcW w:w="47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9</w:t>
            </w:r>
            <w:r/>
          </w:p>
        </w:tc>
        <w:tc>
          <w:tcPr>
            <w:tcW w:w="548" w:type="dxa"/>
            <w:vAlign w:val="center"/>
            <w:vMerge w:val="continue"/>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r>
            <w:r/>
          </w:p>
        </w:tc>
        <w:tc>
          <w:tcPr>
            <w:tcW w:w="794"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支付方式管理子系统运维</w:t>
            </w:r>
            <w:r/>
          </w:p>
        </w:tc>
        <w:tc>
          <w:tcPr>
            <w:tcW w:w="2491"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宋体" w:eastAsia="方正仿宋_GBK" w:cs="宋体"/>
                <w:color w:val="000000"/>
                <w:szCs w:val="21"/>
                <w:highlight w:val="none"/>
              </w:rPr>
              <w:t xml:space="preserve">支付方式管理子系统日常运维管理和问题响应支持，包括但不限于12个设区市10万多条个人待遇政策算法和3500个月结算法功能点维护。</w:t>
            </w:r>
            <w:r/>
          </w:p>
        </w:tc>
        <w:tc>
          <w:tcPr>
            <w:tcW w:w="73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4</w:t>
            </w:r>
            <w:r/>
          </w:p>
        </w:tc>
        <w:tc>
          <w:tcPr>
            <w:tcW w:w="2253" w:type="dxa"/>
            <w:vAlign w:val="center"/>
            <w:vMerge w:val="continue"/>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r>
            <w:r/>
          </w:p>
        </w:tc>
        <w:tc>
          <w:tcPr>
            <w:tcW w:w="1008"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至少2人需驻场，其他人员需按照采购人要求随时提供现场服务</w:t>
            </w:r>
            <w:r/>
          </w:p>
        </w:tc>
      </w:tr>
      <w:tr>
        <w:trPr>
          <w:trHeight w:val="2480"/>
        </w:trPr>
        <w:tc>
          <w:tcPr>
            <w:tcW w:w="47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10</w:t>
            </w:r>
            <w:r/>
          </w:p>
        </w:tc>
        <w:tc>
          <w:tcPr>
            <w:tcW w:w="548" w:type="dxa"/>
            <w:vAlign w:val="center"/>
            <w:vMerge w:val="continue"/>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r>
            <w:r/>
          </w:p>
        </w:tc>
        <w:tc>
          <w:tcPr>
            <w:tcW w:w="794"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省本级经办系统</w:t>
            </w:r>
            <w:r/>
          </w:p>
        </w:tc>
        <w:tc>
          <w:tcPr>
            <w:tcW w:w="2491"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ascii="方正仿宋_GBK" w:hAnsi="等线" w:eastAsia="方正仿宋_GBK" w:cs="宋体"/>
                <w:color w:val="000000"/>
                <w:szCs w:val="21"/>
                <w:highlight w:val="none"/>
              </w:rPr>
              <w:t xml:space="preserve">省本级经办系统日常运维管理和问题响应支持，包括但不限于参保变更类、征缴缴费类、业财类、医保接口类、定点管理类、个人待遇结算类、个人待遇申报类、医保目录类、机构结算类等核心业务运维，数据报表统计分析，医院对接服务，以及其他第三方外部对接等。</w:t>
            </w:r>
            <w:r/>
          </w:p>
        </w:tc>
        <w:tc>
          <w:tcPr>
            <w:tcW w:w="73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2</w:t>
            </w:r>
            <w:r/>
          </w:p>
        </w:tc>
        <w:tc>
          <w:tcPr>
            <w:tcW w:w="2253"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其中负责人员1名，需持有信息安全保障人员认证（CISAW）证书，或软件设计师（中级）证书，或具备不少于3年类似信息化项目运维经历；其他人员需具备不少于1年类似信息化项目运维经历。</w:t>
            </w:r>
            <w:r/>
          </w:p>
        </w:tc>
        <w:tc>
          <w:tcPr>
            <w:tcW w:w="1008"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需驻场</w:t>
            </w:r>
            <w:r/>
          </w:p>
        </w:tc>
      </w:tr>
      <w:tr>
        <w:trPr>
          <w:trHeight w:val="1550"/>
        </w:trPr>
        <w:tc>
          <w:tcPr>
            <w:tcW w:w="47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11</w:t>
            </w:r>
            <w:r/>
          </w:p>
        </w:tc>
        <w:tc>
          <w:tcPr>
            <w:tcW w:w="548" w:type="dxa"/>
            <w:vAlign w:val="center"/>
            <w:vMerge w:val="continue"/>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r>
            <w:r/>
          </w:p>
        </w:tc>
        <w:tc>
          <w:tcPr>
            <w:tcW w:w="794"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定点接口对接</w:t>
            </w:r>
            <w:r/>
          </w:p>
        </w:tc>
        <w:tc>
          <w:tcPr>
            <w:tcW w:w="2491"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宋体" w:eastAsia="方正仿宋_GBK" w:cs="宋体"/>
                <w:color w:val="000000"/>
                <w:szCs w:val="21"/>
                <w:highlight w:val="none"/>
              </w:rPr>
              <w:t xml:space="preserve">向全省定点医药机构免费提供基于国家医保信息平台标准规范的电子处方、追溯码、电子病历等接口培训、联调服务和测试工具，在规定时间内完成接口对接。每2个设区市1人，其余4人按需调配。</w:t>
            </w:r>
            <w:r/>
          </w:p>
        </w:tc>
        <w:tc>
          <w:tcPr>
            <w:tcW w:w="73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10</w:t>
            </w:r>
            <w:r/>
          </w:p>
        </w:tc>
        <w:tc>
          <w:tcPr>
            <w:tcW w:w="2253"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其中负责人员2名，需持有ITSS服务工程师证书，或软件评测师（中级）证书，或具备不少于3年类似信息化项目运维经历；其他人员需具备不少于1年类似信息化项目运维经历。</w:t>
            </w:r>
            <w:r/>
          </w:p>
        </w:tc>
        <w:tc>
          <w:tcPr>
            <w:tcW w:w="1008"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需驻场</w:t>
            </w:r>
            <w:r/>
          </w:p>
        </w:tc>
      </w:tr>
      <w:tr>
        <w:trPr>
          <w:trHeight w:val="1550"/>
        </w:trPr>
        <w:tc>
          <w:tcPr>
            <w:tcW w:w="47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12</w:t>
            </w:r>
            <w:r/>
          </w:p>
        </w:tc>
        <w:tc>
          <w:tcPr>
            <w:tcW w:w="548" w:type="dxa"/>
            <w:vAlign w:val="center"/>
            <w:vMerge w:val="continue"/>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r>
            <w:r/>
          </w:p>
        </w:tc>
        <w:tc>
          <w:tcPr>
            <w:tcW w:w="794"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系统功能优化</w:t>
            </w:r>
            <w:r/>
          </w:p>
        </w:tc>
        <w:tc>
          <w:tcPr>
            <w:tcW w:w="2491"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宋体" w:eastAsia="方正仿宋_GBK" w:cs="宋体"/>
                <w:color w:val="000000"/>
                <w:szCs w:val="21"/>
                <w:highlight w:val="none"/>
              </w:rPr>
              <w:t xml:space="preserve">完成省市医保部门通过需求管理平台提交的功能优化需求收集、技术评估、功能开发、联调测试等工作。</w:t>
            </w:r>
            <w:r/>
          </w:p>
        </w:tc>
        <w:tc>
          <w:tcPr>
            <w:tcW w:w="733" w:type="dxa"/>
            <w:vAlign w:val="center"/>
            <w:textDirection w:val="lrTb"/>
            <w:noWrap w:val="false"/>
          </w:tcPr>
          <w:p>
            <w:pPr>
              <w:jc w:val="center"/>
              <w:spacing w:line="0" w:lineRule="atLeast"/>
              <w:widowControl/>
              <w:rPr>
                <w:rFonts w:hint="eastAsia" w:ascii="方正仿宋_GBK" w:hAnsi="等线" w:eastAsia="方正仿宋_GBK" w:cs="宋体"/>
                <w:color w:val="1f2329"/>
                <w:szCs w:val="21"/>
                <w:highlight w:val="none"/>
              </w:rPr>
            </w:pPr>
            <w:r>
              <w:rPr>
                <w:rFonts w:hint="eastAsia" w:ascii="方正仿宋_GBK" w:hAnsi="等线" w:eastAsia="方正仿宋_GBK" w:cs="宋体"/>
                <w:color w:val="1f2329"/>
                <w:szCs w:val="21"/>
                <w:highlight w:val="none"/>
              </w:rPr>
              <w:t xml:space="preserve">10</w:t>
            </w:r>
            <w:r/>
          </w:p>
        </w:tc>
        <w:tc>
          <w:tcPr>
            <w:tcW w:w="2253"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其中负责人员2名，需持有ITSS服务工程师证书，或软件设计师（中级）证书，或具备不少于3年类似信息化项目运维经历；其他人员需具备不少于1年类似信息化项目运维经历。</w:t>
            </w:r>
            <w:r/>
          </w:p>
        </w:tc>
        <w:tc>
          <w:tcPr>
            <w:tcW w:w="1008"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至少2人需驻场，其他人员需按照采购人要求随时提供现场服务</w:t>
            </w:r>
            <w:r/>
          </w:p>
        </w:tc>
      </w:tr>
      <w:tr>
        <w:trPr>
          <w:trHeight w:val="1550"/>
        </w:trPr>
        <w:tc>
          <w:tcPr>
            <w:tcW w:w="473"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13</w:t>
            </w:r>
            <w:r/>
          </w:p>
        </w:tc>
        <w:tc>
          <w:tcPr>
            <w:tcW w:w="548"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数据库优化</w:t>
            </w:r>
            <w:r/>
          </w:p>
        </w:tc>
        <w:tc>
          <w:tcPr>
            <w:tcW w:w="794" w:type="dxa"/>
            <w:vAlign w:val="center"/>
            <w:textDirection w:val="lrTb"/>
            <w:noWrap w:val="false"/>
          </w:tcPr>
          <w:p>
            <w:pPr>
              <w:jc w:val="center"/>
              <w:spacing w:line="0" w:lineRule="atLeast"/>
              <w:widowControl/>
              <w:rPr>
                <w:rFonts w:hint="eastAsia" w:ascii="方正仿宋_GBK" w:hAnsi="等线" w:eastAsia="方正仿宋_GBK" w:cs="宋体"/>
                <w:color w:val="000000"/>
                <w:szCs w:val="21"/>
                <w:highlight w:val="none"/>
              </w:rPr>
            </w:pPr>
            <w:r>
              <w:rPr>
                <w:rFonts w:hint="eastAsia" w:ascii="方正仿宋_GBK" w:hAnsi="宋体" w:eastAsia="方正仿宋_GBK" w:cs="宋体"/>
                <w:color w:val="000000"/>
                <w:szCs w:val="21"/>
                <w:highlight w:val="none"/>
              </w:rPr>
              <w:t xml:space="preserve">数据库冷热分离</w:t>
            </w:r>
            <w:r/>
          </w:p>
        </w:tc>
        <w:tc>
          <w:tcPr>
            <w:tcW w:w="2491" w:type="dxa"/>
            <w:vAlign w:val="center"/>
            <w:textDirection w:val="lrTb"/>
            <w:noWrap w:val="false"/>
          </w:tcPr>
          <w:p>
            <w:pPr>
              <w:jc w:val="left"/>
              <w:spacing w:line="0" w:lineRule="atLeast"/>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开展省平台数据分层管理，持续做好数据库冷热分离，对业务系统进行适配改造，确保业务连续性和一致性。</w:t>
            </w:r>
            <w:r/>
          </w:p>
        </w:tc>
        <w:tc>
          <w:tcPr>
            <w:tcW w:w="733" w:type="dxa"/>
            <w:vAlign w:val="center"/>
            <w:textDirection w:val="lrTb"/>
            <w:noWrap w:val="false"/>
          </w:tcPr>
          <w:p>
            <w:pPr>
              <w:jc w:val="center"/>
              <w:spacing w:line="0" w:lineRule="atLeast"/>
              <w:widowControl/>
              <w:rPr>
                <w:rFonts w:hint="eastAsia" w:ascii="方正仿宋_GBK" w:hAnsi="等线" w:eastAsia="方正仿宋_GBK" w:cs="宋体"/>
                <w:color w:val="1f2329"/>
                <w:szCs w:val="21"/>
                <w:highlight w:val="none"/>
              </w:rPr>
            </w:pPr>
            <w:r>
              <w:rPr>
                <w:rFonts w:hint="eastAsia" w:ascii="方正仿宋_GBK" w:hAnsi="等线" w:eastAsia="方正仿宋_GBK" w:cs="宋体"/>
                <w:color w:val="000000"/>
                <w:szCs w:val="21"/>
                <w:highlight w:val="none"/>
              </w:rPr>
              <w:t xml:space="preserve">首年10人，次年4人</w:t>
            </w:r>
            <w:r/>
          </w:p>
        </w:tc>
        <w:tc>
          <w:tcPr>
            <w:tcW w:w="2253"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其中负责人员2名，需持有数据库系统工程师（中级）证书，或DCMM数据管理师（初级）证书，或具备不少于3年类似信息化项目数据管理经验；其他人员需具备不少于1年类似信息化项目数据管理经历。</w:t>
            </w:r>
            <w:r/>
          </w:p>
        </w:tc>
        <w:tc>
          <w:tcPr>
            <w:tcW w:w="1008" w:type="dxa"/>
            <w:vAlign w:val="center"/>
            <w:textDirection w:val="lrTb"/>
            <w:noWrap w:val="false"/>
          </w:tcPr>
          <w:p>
            <w:pPr>
              <w:jc w:val="left"/>
              <w:spacing w:line="0" w:lineRule="atLeast"/>
              <w:widowControl/>
              <w:rPr>
                <w:rFonts w:hint="eastAsia" w:ascii="方正仿宋_GBK" w:hAnsi="等线" w:eastAsia="方正仿宋_GBK" w:cs="宋体"/>
                <w:color w:val="000000"/>
                <w:szCs w:val="21"/>
                <w:highlight w:val="none"/>
              </w:rPr>
            </w:pPr>
            <w:r>
              <w:rPr>
                <w:rFonts w:hint="eastAsia" w:ascii="方正仿宋_GBK" w:hAnsi="等线" w:eastAsia="方正仿宋_GBK" w:cs="宋体"/>
                <w:color w:val="000000"/>
                <w:szCs w:val="21"/>
                <w:highlight w:val="none"/>
              </w:rPr>
              <w:t xml:space="preserve">需驻场</w:t>
            </w:r>
            <w:r/>
          </w:p>
        </w:tc>
      </w:tr>
    </w:tbl>
    <w:p>
      <w:pPr>
        <w:ind w:firstLine="420"/>
        <w:rPr>
          <w:highlight w:val="none"/>
        </w:rPr>
      </w:pPr>
      <w:r>
        <w:rPr>
          <w:highlight w:val="none"/>
        </w:rPr>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（三）运维人员作息要求</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所有驻场运维人员需严格遵守驻场运维工作纪律，按照采购人指定的刷卡、刷脸等方式进行每日考勤，工作时间不得从事与本项目无关的事情。</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1.运行监测和系统运维人员：分别提供7×24驻场服务。</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2.其他运维人员：</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（1）工作日：执行采购人作息时间，并保持7×24小时电话畅通。</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（2）节假日：8:30至18:00之间至少安排2人驻场值班（其中包括1名安全运维人员、1名数据管理人员，且能够根据项目需要和采购人要求增派驻场值班人员），其他时段保持7×24小时电话畅通。</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（3）重大活动期间：提供重大活动期间的现场技术保障服务，做好值班备勤安排和特殊保障计划。</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六、运维服务考核要求</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采购人将对中标方提供的运维服务情况进行考核，并在签订合同后服务满12个月、以及服务期满后分别出具考核评价分数(</w:t>
      </w:r>
      <w:r>
        <w:rPr>
          <w:rFonts w:hint="eastAsia" w:ascii="Times New Roman" w:hAnsi="Times New Roman" w:eastAsia="方正仿宋_GBK" w:cs="Times New Roman"/>
          <w:sz w:val="32"/>
          <w:szCs w:val="32"/>
          <w:highlight w:val="none"/>
        </w:rPr>
        <w:t xml:space="preserve">采购人有权按照实际工作需要调整考核要求</w:t>
      </w:r>
      <w:r>
        <w:rPr>
          <w:rFonts w:ascii="Times New Roman" w:hAnsi="Times New Roman" w:eastAsia="方正仿宋_GBK" w:cs="Times New Roman"/>
          <w:sz w:val="32"/>
          <w:szCs w:val="32"/>
          <w:highlight w:val="none"/>
        </w:rPr>
        <w:t xml:space="preserve">)。</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考核要求如下：</w:t>
      </w:r>
      <w:r/>
    </w:p>
    <w:tbl>
      <w:tblPr>
        <w:tblStyle w:val="917"/>
        <w:tblW w:w="10534"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446"/>
        <w:gridCol w:w="708"/>
        <w:gridCol w:w="2694"/>
        <w:gridCol w:w="4962"/>
      </w:tblGrid>
      <w:tr>
        <w:trPr>
          <w:trHeight w:val="567"/>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黑体_GBK" w:cs="Times New Roman"/>
                <w:sz w:val="24"/>
                <w:szCs w:val="24"/>
                <w:highlight w:val="none"/>
              </w:rPr>
            </w:pPr>
            <w:r>
              <w:rPr>
                <w:rFonts w:hint="eastAsia" w:ascii="Times New Roman" w:hAnsi="Times New Roman" w:eastAsia="方正黑体_GBK" w:cs="Times New Roman"/>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黑体_GBK" w:cs="Times New Roman"/>
                <w:sz w:val="24"/>
                <w:szCs w:val="24"/>
                <w:highlight w:val="none"/>
              </w:rPr>
            </w:pPr>
            <w:r>
              <w:rPr>
                <w:rFonts w:hint="eastAsia" w:ascii="Times New Roman" w:hAnsi="Times New Roman" w:eastAsia="方正黑体_GBK" w:cs="Times New Roman"/>
                <w:sz w:val="24"/>
                <w:szCs w:val="24"/>
                <w:highlight w:val="none"/>
              </w:rPr>
              <w:t xml:space="preserve">评价指标</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黑体_GBK" w:cs="Times New Roman"/>
                <w:sz w:val="24"/>
                <w:szCs w:val="24"/>
                <w:highlight w:val="none"/>
              </w:rPr>
            </w:pPr>
            <w:r>
              <w:rPr>
                <w:rFonts w:hint="eastAsia" w:ascii="Times New Roman" w:hAnsi="Times New Roman" w:eastAsia="方正黑体_GBK" w:cs="Times New Roman"/>
                <w:sz w:val="24"/>
                <w:szCs w:val="24"/>
                <w:highlight w:val="none"/>
              </w:rPr>
              <w:t xml:space="preserve">分值</w:t>
            </w:r>
            <w:r/>
          </w:p>
        </w:tc>
        <w:tc>
          <w:tcPr>
            <w:tcBorders>
              <w:top w:val="single" w:color="auto" w:sz="4" w:space="0"/>
              <w:left w:val="none" w:color="000000" w:sz="4" w:space="0"/>
              <w:bottom w:val="single" w:color="auto" w:sz="4" w:space="0"/>
              <w:right w:val="single" w:color="auto" w:sz="4" w:space="0"/>
            </w:tcBorders>
            <w:tcW w:w="2694" w:type="dxa"/>
            <w:vAlign w:val="center"/>
            <w:textDirection w:val="lrTb"/>
            <w:noWrap w:val="false"/>
          </w:tcPr>
          <w:p>
            <w:pPr>
              <w:jc w:val="center"/>
              <w:rPr>
                <w:rFonts w:ascii="Times New Roman" w:hAnsi="Times New Roman" w:eastAsia="方正黑体_GBK" w:cs="Times New Roman"/>
                <w:sz w:val="24"/>
                <w:szCs w:val="24"/>
                <w:highlight w:val="none"/>
              </w:rPr>
            </w:pPr>
            <w:r>
              <w:rPr>
                <w:rFonts w:hint="eastAsia" w:ascii="Times New Roman" w:hAnsi="Times New Roman" w:eastAsia="方正黑体_GBK" w:cs="Times New Roman"/>
                <w:sz w:val="24"/>
                <w:szCs w:val="24"/>
                <w:highlight w:val="none"/>
              </w:rPr>
              <w:t xml:space="preserve">评价内容</w:t>
            </w:r>
            <w:r/>
          </w:p>
        </w:tc>
        <w:tc>
          <w:tcPr>
            <w:tcBorders>
              <w:top w:val="single" w:color="auto" w:sz="4" w:space="0"/>
              <w:left w:val="none" w:color="000000" w:sz="4" w:space="0"/>
              <w:bottom w:val="single" w:color="auto" w:sz="4" w:space="0"/>
              <w:right w:val="single" w:color="auto" w:sz="4" w:space="0"/>
            </w:tcBorders>
            <w:tcW w:w="4962" w:type="dxa"/>
            <w:vAlign w:val="center"/>
            <w:textDirection w:val="lrTb"/>
            <w:noWrap/>
          </w:tcPr>
          <w:p>
            <w:pPr>
              <w:jc w:val="center"/>
              <w:spacing w:line="280" w:lineRule="exact"/>
              <w:widowControl/>
              <w:rPr>
                <w:rFonts w:ascii="Times New Roman" w:hAnsi="Times New Roman" w:eastAsia="方正黑体_GBK" w:cs="Times New Roman"/>
                <w:sz w:val="24"/>
                <w:szCs w:val="24"/>
                <w:highlight w:val="none"/>
              </w:rPr>
            </w:pPr>
            <w:r>
              <w:rPr>
                <w:rFonts w:hint="eastAsia" w:ascii="Times New Roman" w:hAnsi="Times New Roman" w:eastAsia="方正黑体_GBK" w:cs="Times New Roman"/>
                <w:sz w:val="24"/>
                <w:szCs w:val="24"/>
                <w:highlight w:val="none"/>
              </w:rPr>
              <w:t xml:space="preserve">评分标准</w:t>
            </w:r>
            <w:r/>
          </w:p>
        </w:tc>
      </w:tr>
      <w:tr>
        <w:trPr>
          <w:trHeight w:val="1769"/>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验收组意见</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70</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验收组对供应商提供的货物、系统和服务按照采购文件、投标（响应）文件、政府采购合同等进行逐一核对、验收。</w:t>
            </w:r>
            <w:r/>
          </w:p>
        </w:tc>
        <w:tc>
          <w:tcPr>
            <w:tcBorders>
              <w:top w:val="none" w:color="000000" w:sz="4" w:space="0"/>
              <w:left w:val="none" w:color="000000" w:sz="4" w:space="0"/>
              <w:bottom w:val="single" w:color="auto" w:sz="4" w:space="0"/>
              <w:right w:val="single" w:color="auto" w:sz="4" w:space="0"/>
            </w:tcBorders>
            <w:tcW w:w="4962" w:type="dxa"/>
            <w:vAlign w:val="center"/>
            <w:textDirection w:val="lrTb"/>
            <w:noWrap/>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验收通过，得70分。</w:t>
            </w:r>
            <w:r/>
          </w:p>
        </w:tc>
      </w:tr>
      <w:tr>
        <w:trPr>
          <w:trHeight w:val="2106"/>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日常考核</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信息管理部门和总集服务团队在项目合同履约期内，每周对该项目驻场人员管理、项目实施管理、系统运行维护、信息安全等方面进行评价。</w:t>
            </w:r>
            <w:r/>
          </w:p>
        </w:tc>
        <w:tc>
          <w:tcPr>
            <w:tcBorders>
              <w:top w:val="none" w:color="000000" w:sz="4" w:space="0"/>
              <w:left w:val="none" w:color="000000" w:sz="4" w:space="0"/>
              <w:bottom w:val="single" w:color="auto" w:sz="4" w:space="0"/>
              <w:right w:val="single" w:color="auto" w:sz="4" w:space="0"/>
            </w:tcBorders>
            <w:tcW w:w="4962" w:type="dxa"/>
            <w:vAlign w:val="center"/>
            <w:textDirection w:val="lrTb"/>
            <w:noWrap/>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合同履约期内项目每周考核平均得分÷5</w:t>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业务处室满意度</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牵头业务处室根据供应商沟通配合、服务质量、响应速度、工作成效等情况进行评价。</w:t>
            </w:r>
            <w:r/>
          </w:p>
        </w:tc>
        <w:tc>
          <w:tcPr>
            <w:tcBorders>
              <w:top w:val="none" w:color="000000" w:sz="4" w:space="0"/>
              <w:left w:val="none" w:color="000000" w:sz="4" w:space="0"/>
              <w:bottom w:val="single" w:color="auto" w:sz="4" w:space="0"/>
              <w:right w:val="single" w:color="auto" w:sz="4" w:space="0"/>
            </w:tcBorders>
            <w:tcW w:w="4962" w:type="dxa"/>
            <w:vAlign w:val="center"/>
            <w:textDirection w:val="lrTb"/>
            <w:noWrap/>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1.需求理解清晰,主动定期汇报，得2分；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2.服务流程规范，交付符合需求，得2分；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3.问题响应迅速，评估处理及时，得3分；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4.成果达到预期，有效支撑业务运转，得3分。</w:t>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加分项</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对工作成效进行评价。.</w:t>
            </w:r>
            <w:r/>
          </w:p>
        </w:tc>
        <w:tc>
          <w:tcPr>
            <w:tcBorders>
              <w:top w:val="none" w:color="000000" w:sz="4" w:space="0"/>
              <w:left w:val="none" w:color="000000" w:sz="4" w:space="0"/>
              <w:bottom w:val="single" w:color="auto" w:sz="4" w:space="0"/>
              <w:right w:val="single" w:color="auto" w:sz="4" w:space="0"/>
            </w:tcBorders>
            <w:tcW w:w="4962" w:type="dxa"/>
            <w:vAlign w:val="center"/>
            <w:textDirection w:val="lrTb"/>
            <w:noWrap w:val="false"/>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1.执行重大保障、应急处置、专项攻坚等任务成效突出，获省局书面肯定的，每次得2分；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2.项目成果获得国家级以上奖项的，得2分；获得省级以上奖项的，得1分。</w:t>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扣分项</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对系统开发实施质量、网络和信息安全等方面进行评价。</w:t>
            </w:r>
            <w:r/>
          </w:p>
        </w:tc>
        <w:tc>
          <w:tcPr>
            <w:tcBorders>
              <w:top w:val="none" w:color="000000" w:sz="4" w:space="0"/>
              <w:left w:val="none" w:color="000000" w:sz="4" w:space="0"/>
              <w:bottom w:val="single" w:color="auto" w:sz="4" w:space="0"/>
              <w:right w:val="single" w:color="auto" w:sz="4" w:space="0"/>
            </w:tcBorders>
            <w:tcW w:w="4962" w:type="dxa"/>
            <w:vAlign w:val="center"/>
            <w:textDirection w:val="lrTb"/>
            <w:noWrap w:val="false"/>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1.每发生一次一级故障，扣2分；每发生一次二级故障，扣1.5分；每发生一次三级故障，扣1分；每发生一次四级故障，扣0.5分；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2.每发生一起医保数据泄露事件，扣2分；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3.每发生一起被国家相关部委通报的安全事件，扣2分；每发生一起被省级相关部门通报的安全事件，扣1分。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4.每发生一次打版回退，扣0.5分；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5.系统上线前，未一次性通过省局组织的第三方软件测试的，扣0.5分；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6.系统上线前，未一次性通过省局组织的第三方安全测试的，扣0.5分。</w:t>
            </w:r>
            <w:r/>
          </w:p>
        </w:tc>
      </w:tr>
    </w:tbl>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七、服务响应时间及应急处置要求</w:t>
      </w:r>
      <w:r/>
    </w:p>
    <w:p>
      <w:pPr>
        <w:numPr>
          <w:ilvl w:val="0"/>
          <w:numId w:val="2"/>
        </w:numPr>
        <w:ind w:left="0" w:firstLine="640"/>
        <w:keepLines/>
        <w:keepNext/>
        <w:spacing w:line="580" w:lineRule="exact"/>
        <w:rPr>
          <w:rFonts w:ascii="Times New Roman" w:hAnsi="Times New Roman" w:eastAsia="方正楷体_GBK" w:cs="Times New Roman"/>
          <w:bCs/>
          <w:sz w:val="32"/>
          <w:szCs w:val="32"/>
          <w:highlight w:val="none"/>
        </w:rPr>
        <w:outlineLvl w:val="1"/>
      </w:pPr>
      <w:r>
        <w:rPr>
          <w:rFonts w:ascii="Times New Roman" w:hAnsi="Times New Roman" w:eastAsia="方正楷体_GBK" w:cs="Times New Roman"/>
          <w:bCs/>
          <w:sz w:val="32"/>
          <w:szCs w:val="32"/>
          <w:highlight w:val="none"/>
        </w:rPr>
        <w:t xml:space="preserve">服务时间要求</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正常工作时间：现场服务，及时响应。</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非工作时间：提供7×24小时不关机响应。</w:t>
      </w:r>
      <w:r/>
    </w:p>
    <w:p>
      <w:pPr>
        <w:numPr>
          <w:ilvl w:val="0"/>
          <w:numId w:val="2"/>
        </w:numPr>
        <w:ind w:left="0" w:firstLine="640"/>
        <w:keepLines/>
        <w:keepNext/>
        <w:spacing w:line="580" w:lineRule="exact"/>
        <w:rPr>
          <w:rFonts w:ascii="Times New Roman" w:hAnsi="Times New Roman" w:eastAsia="方正楷体_GBK" w:cs="Times New Roman"/>
          <w:bCs/>
          <w:sz w:val="32"/>
          <w:szCs w:val="32"/>
          <w:highlight w:val="none"/>
        </w:rPr>
        <w:outlineLvl w:val="1"/>
      </w:pPr>
      <w:r>
        <w:rPr>
          <w:rFonts w:ascii="Times New Roman" w:hAnsi="Times New Roman" w:eastAsia="方正楷体_GBK" w:cs="Times New Roman"/>
          <w:bCs/>
          <w:sz w:val="32"/>
          <w:szCs w:val="32"/>
          <w:highlight w:val="none"/>
        </w:rPr>
        <w:t xml:space="preserve">服务响应时间</w:t>
      </w:r>
      <w:r/>
    </w:p>
    <w:tbl>
      <w:tblPr>
        <w:tblStyle w:val="917"/>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7"/>
        <w:gridCol w:w="3699"/>
        <w:gridCol w:w="1714"/>
        <w:gridCol w:w="1440"/>
        <w:gridCol w:w="1283"/>
      </w:tblGrid>
      <w:tr>
        <w:trPr/>
        <w:tc>
          <w:tcPr>
            <w:tcW w:w="751" w:type="pct"/>
            <w:vAlign w:val="center"/>
            <w:textDirection w:val="lrTb"/>
            <w:noWrap w:val="false"/>
          </w:tcPr>
          <w:p>
            <w:pPr>
              <w:jc w:val="center"/>
              <w:rPr>
                <w:rFonts w:ascii="Times New Roman" w:hAnsi="Times New Roman" w:eastAsia="方正黑体_GBK" w:cs="Times New Roman"/>
                <w:sz w:val="24"/>
                <w:szCs w:val="28"/>
                <w:highlight w:val="none"/>
              </w:rPr>
            </w:pPr>
            <w:r>
              <w:rPr>
                <w:rFonts w:ascii="Times New Roman" w:hAnsi="Times New Roman" w:eastAsia="方正黑体_GBK" w:cs="Times New Roman"/>
                <w:sz w:val="24"/>
                <w:szCs w:val="28"/>
                <w:highlight w:val="none"/>
              </w:rPr>
              <w:t xml:space="preserve">故障等级</w:t>
            </w:r>
            <w:r/>
          </w:p>
        </w:tc>
        <w:tc>
          <w:tcPr>
            <w:tcW w:w="1932" w:type="pct"/>
            <w:vAlign w:val="center"/>
            <w:textDirection w:val="lrTb"/>
            <w:noWrap w:val="false"/>
          </w:tcPr>
          <w:p>
            <w:pPr>
              <w:jc w:val="center"/>
              <w:rPr>
                <w:rFonts w:ascii="Times New Roman" w:hAnsi="Times New Roman" w:eastAsia="方正黑体_GBK" w:cs="Times New Roman"/>
                <w:sz w:val="24"/>
                <w:szCs w:val="28"/>
                <w:highlight w:val="none"/>
              </w:rPr>
            </w:pPr>
            <w:r>
              <w:rPr>
                <w:rFonts w:ascii="Times New Roman" w:hAnsi="Times New Roman" w:eastAsia="方正黑体_GBK" w:cs="Times New Roman"/>
                <w:sz w:val="24"/>
                <w:szCs w:val="28"/>
                <w:highlight w:val="none"/>
              </w:rPr>
              <w:t xml:space="preserve">现象描述</w:t>
            </w:r>
            <w:r/>
          </w:p>
        </w:tc>
        <w:tc>
          <w:tcPr>
            <w:tcW w:w="895" w:type="pct"/>
            <w:vAlign w:val="center"/>
            <w:textDirection w:val="lrTb"/>
            <w:noWrap w:val="false"/>
          </w:tcPr>
          <w:p>
            <w:pPr>
              <w:jc w:val="center"/>
              <w:rPr>
                <w:rFonts w:ascii="Times New Roman" w:hAnsi="Times New Roman" w:eastAsia="方正黑体_GBK" w:cs="Times New Roman"/>
                <w:sz w:val="24"/>
                <w:szCs w:val="28"/>
                <w:highlight w:val="none"/>
              </w:rPr>
            </w:pPr>
            <w:r>
              <w:rPr>
                <w:rFonts w:ascii="Times New Roman" w:hAnsi="Times New Roman" w:eastAsia="方正黑体_GBK" w:cs="Times New Roman"/>
                <w:sz w:val="24"/>
                <w:szCs w:val="28"/>
                <w:highlight w:val="none"/>
              </w:rPr>
              <w:t xml:space="preserve">时段</w:t>
            </w:r>
            <w:r/>
          </w:p>
        </w:tc>
        <w:tc>
          <w:tcPr>
            <w:tcW w:w="752" w:type="pct"/>
            <w:vAlign w:val="center"/>
            <w:textDirection w:val="lrTb"/>
            <w:noWrap w:val="false"/>
          </w:tcPr>
          <w:p>
            <w:pPr>
              <w:jc w:val="center"/>
              <w:rPr>
                <w:rFonts w:ascii="Times New Roman" w:hAnsi="Times New Roman" w:eastAsia="方正黑体_GBK" w:cs="Times New Roman"/>
                <w:sz w:val="24"/>
                <w:szCs w:val="28"/>
                <w:highlight w:val="none"/>
              </w:rPr>
            </w:pPr>
            <w:r>
              <w:rPr>
                <w:rFonts w:ascii="Times New Roman" w:hAnsi="Times New Roman" w:eastAsia="方正黑体_GBK" w:cs="Times New Roman"/>
                <w:sz w:val="24"/>
                <w:szCs w:val="28"/>
                <w:highlight w:val="none"/>
              </w:rPr>
              <w:t xml:space="preserve">响应时间</w:t>
            </w:r>
            <w:r/>
          </w:p>
        </w:tc>
        <w:tc>
          <w:tcPr>
            <w:tcW w:w="670" w:type="pct"/>
            <w:vAlign w:val="center"/>
            <w:textDirection w:val="lrTb"/>
            <w:noWrap w:val="false"/>
          </w:tcPr>
          <w:p>
            <w:pPr>
              <w:jc w:val="center"/>
              <w:rPr>
                <w:rFonts w:ascii="Times New Roman" w:hAnsi="Times New Roman" w:eastAsia="方正黑体_GBK" w:cs="Times New Roman"/>
                <w:sz w:val="24"/>
                <w:szCs w:val="28"/>
                <w:highlight w:val="none"/>
              </w:rPr>
            </w:pPr>
            <w:r>
              <w:rPr>
                <w:rFonts w:ascii="Times New Roman" w:hAnsi="Times New Roman" w:eastAsia="方正黑体_GBK" w:cs="Times New Roman"/>
                <w:sz w:val="24"/>
                <w:szCs w:val="28"/>
                <w:highlight w:val="none"/>
              </w:rPr>
              <w:t xml:space="preserve">故障解决时间</w:t>
            </w:r>
            <w:r/>
          </w:p>
        </w:tc>
      </w:tr>
      <w:tr>
        <w:trPr>
          <w:trHeight w:val="429"/>
        </w:trPr>
        <w:tc>
          <w:tcPr>
            <w:tcW w:w="751" w:type="pct"/>
            <w:vAlign w:val="center"/>
            <w:vMerge w:val="restart"/>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一级故障</w:t>
            </w:r>
            <w:r/>
          </w:p>
        </w:tc>
        <w:tc>
          <w:tcPr>
            <w:tcW w:w="1932" w:type="pct"/>
            <w:vAlign w:val="center"/>
            <w:vMerge w:val="restart"/>
            <w:textDirection w:val="lrTb"/>
            <w:noWrap w:val="false"/>
          </w:tcPr>
          <w:p>
            <w:pP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投标人所运维的项目，出现全省系统瘫痪，或数据丢失故障。</w:t>
            </w:r>
            <w:r/>
          </w:p>
        </w:tc>
        <w:tc>
          <w:tcPr>
            <w:tcW w:w="895"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7:00-20:00</w:t>
            </w:r>
            <w:r/>
          </w:p>
        </w:tc>
        <w:tc>
          <w:tcPr>
            <w:tcW w:w="752"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3分钟</w:t>
            </w:r>
            <w:r/>
          </w:p>
        </w:tc>
        <w:tc>
          <w:tcPr>
            <w:tcW w:w="670"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15分钟</w:t>
            </w:r>
            <w:r/>
          </w:p>
        </w:tc>
      </w:tr>
      <w:tr>
        <w:trPr/>
        <w:tc>
          <w:tcPr>
            <w:tcW w:w="751" w:type="pct"/>
            <w:vAlign w:val="center"/>
            <w:vMerge w:val="continue"/>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r>
            <w:r/>
          </w:p>
        </w:tc>
        <w:tc>
          <w:tcPr>
            <w:tcW w:w="1932" w:type="pct"/>
            <w:vAlign w:val="center"/>
            <w:vMerge w:val="continue"/>
            <w:textDirection w:val="lrTb"/>
            <w:noWrap w:val="false"/>
          </w:tcPr>
          <w:p>
            <w:pP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r>
            <w:r/>
          </w:p>
        </w:tc>
        <w:tc>
          <w:tcPr>
            <w:tcW w:w="895"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20:00</w:t>
            </w:r>
            <w:r>
              <w:rPr>
                <w:rFonts w:hint="eastAsia" w:ascii="Times New Roman" w:hAnsi="Times New Roman" w:eastAsia="方正仿宋_GBK" w:cs="Times New Roman"/>
                <w:sz w:val="24"/>
                <w:szCs w:val="28"/>
                <w:highlight w:val="none"/>
              </w:rPr>
              <w:t xml:space="preserve">－</w:t>
            </w:r>
            <w:r>
              <w:rPr>
                <w:rFonts w:ascii="Times New Roman" w:hAnsi="Times New Roman" w:eastAsia="方正仿宋_GBK" w:cs="Times New Roman"/>
                <w:sz w:val="24"/>
                <w:szCs w:val="28"/>
                <w:highlight w:val="none"/>
              </w:rPr>
              <w:t xml:space="preserve">次日7:00</w:t>
            </w:r>
            <w:r/>
          </w:p>
        </w:tc>
        <w:tc>
          <w:tcPr>
            <w:tcW w:w="752"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5分钟</w:t>
            </w:r>
            <w:r/>
          </w:p>
        </w:tc>
        <w:tc>
          <w:tcPr>
            <w:tcW w:w="670"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20分钟</w:t>
            </w:r>
            <w:r/>
          </w:p>
        </w:tc>
      </w:tr>
      <w:tr>
        <w:trPr>
          <w:trHeight w:val="599"/>
        </w:trPr>
        <w:tc>
          <w:tcPr>
            <w:tcW w:w="751" w:type="pct"/>
            <w:vAlign w:val="center"/>
            <w:vMerge w:val="restart"/>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二级故障</w:t>
            </w:r>
            <w:r/>
          </w:p>
        </w:tc>
        <w:tc>
          <w:tcPr>
            <w:tcW w:w="1932" w:type="pct"/>
            <w:vAlign w:val="center"/>
            <w:vMerge w:val="restart"/>
            <w:textDirection w:val="lrTb"/>
            <w:noWrap w:val="false"/>
          </w:tcPr>
          <w:p>
            <w:pP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投标人所运维的项目，在一个及以上设区市出现系统瘫痪故障。</w:t>
            </w:r>
            <w:r/>
          </w:p>
        </w:tc>
        <w:tc>
          <w:tcPr>
            <w:tcW w:w="895"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7:00-20:00</w:t>
            </w:r>
            <w:r/>
          </w:p>
        </w:tc>
        <w:tc>
          <w:tcPr>
            <w:tcW w:w="752"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3分钟</w:t>
            </w:r>
            <w:r/>
          </w:p>
        </w:tc>
        <w:tc>
          <w:tcPr>
            <w:tcW w:w="670"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20分钟</w:t>
            </w:r>
            <w:r/>
          </w:p>
        </w:tc>
      </w:tr>
      <w:tr>
        <w:trPr/>
        <w:tc>
          <w:tcPr>
            <w:tcW w:w="751" w:type="pct"/>
            <w:vAlign w:val="center"/>
            <w:vMerge w:val="continue"/>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r>
            <w:r/>
          </w:p>
        </w:tc>
        <w:tc>
          <w:tcPr>
            <w:tcW w:w="1932" w:type="pct"/>
            <w:vAlign w:val="center"/>
            <w:vMerge w:val="continue"/>
            <w:textDirection w:val="lrTb"/>
            <w:noWrap w:val="false"/>
          </w:tcPr>
          <w:p>
            <w:pP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r>
            <w:r/>
          </w:p>
        </w:tc>
        <w:tc>
          <w:tcPr>
            <w:tcW w:w="895"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20:00</w:t>
            </w:r>
            <w:r>
              <w:rPr>
                <w:rFonts w:hint="eastAsia" w:ascii="Times New Roman" w:hAnsi="Times New Roman" w:eastAsia="方正仿宋_GBK" w:cs="Times New Roman"/>
                <w:sz w:val="24"/>
                <w:szCs w:val="28"/>
                <w:highlight w:val="none"/>
              </w:rPr>
              <w:t xml:space="preserve">－</w:t>
            </w:r>
            <w:r>
              <w:rPr>
                <w:rFonts w:ascii="Times New Roman" w:hAnsi="Times New Roman" w:eastAsia="方正仿宋_GBK" w:cs="Times New Roman"/>
                <w:sz w:val="24"/>
                <w:szCs w:val="28"/>
                <w:highlight w:val="none"/>
              </w:rPr>
              <w:t xml:space="preserve">次日7:00</w:t>
            </w:r>
            <w:r/>
          </w:p>
        </w:tc>
        <w:tc>
          <w:tcPr>
            <w:tcW w:w="752"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5分钟</w:t>
            </w:r>
            <w:r/>
          </w:p>
        </w:tc>
        <w:tc>
          <w:tcPr>
            <w:tcW w:w="670"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30分钟</w:t>
            </w:r>
            <w:r/>
          </w:p>
        </w:tc>
      </w:tr>
      <w:tr>
        <w:trPr>
          <w:trHeight w:val="449"/>
        </w:trPr>
        <w:tc>
          <w:tcPr>
            <w:tcW w:w="751" w:type="pct"/>
            <w:vAlign w:val="center"/>
            <w:vMerge w:val="restart"/>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三级故障</w:t>
            </w:r>
            <w:r/>
          </w:p>
        </w:tc>
        <w:tc>
          <w:tcPr>
            <w:tcW w:w="1932" w:type="pct"/>
            <w:vAlign w:val="center"/>
            <w:vMerge w:val="restart"/>
            <w:textDirection w:val="lrTb"/>
            <w:noWrap w:val="false"/>
          </w:tcPr>
          <w:p>
            <w:pP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投标人所运维的项目，在全省出现卡顿、延迟等运行效率下降故障。</w:t>
            </w:r>
            <w:r/>
          </w:p>
        </w:tc>
        <w:tc>
          <w:tcPr>
            <w:tcW w:w="895"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7:00-20:00</w:t>
            </w:r>
            <w:r/>
          </w:p>
        </w:tc>
        <w:tc>
          <w:tcPr>
            <w:tcW w:w="752"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3分钟</w:t>
            </w:r>
            <w:r/>
          </w:p>
        </w:tc>
        <w:tc>
          <w:tcPr>
            <w:tcW w:w="670"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30分钟</w:t>
            </w:r>
            <w:r/>
          </w:p>
        </w:tc>
      </w:tr>
      <w:tr>
        <w:trPr/>
        <w:tc>
          <w:tcPr>
            <w:tcW w:w="751" w:type="pct"/>
            <w:vAlign w:val="center"/>
            <w:vMerge w:val="continue"/>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r>
            <w:r/>
          </w:p>
        </w:tc>
        <w:tc>
          <w:tcPr>
            <w:tcW w:w="1932" w:type="pct"/>
            <w:vAlign w:val="center"/>
            <w:vMerge w:val="continue"/>
            <w:textDirection w:val="lrTb"/>
            <w:noWrap w:val="false"/>
          </w:tcPr>
          <w:p>
            <w:pP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r>
            <w:r/>
          </w:p>
        </w:tc>
        <w:tc>
          <w:tcPr>
            <w:tcW w:w="895"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20:00</w:t>
            </w:r>
            <w:r>
              <w:rPr>
                <w:rFonts w:hint="eastAsia" w:ascii="Times New Roman" w:hAnsi="Times New Roman" w:eastAsia="方正仿宋_GBK" w:cs="Times New Roman"/>
                <w:sz w:val="24"/>
                <w:szCs w:val="28"/>
                <w:highlight w:val="none"/>
              </w:rPr>
              <w:t xml:space="preserve">－</w:t>
            </w:r>
            <w:r>
              <w:rPr>
                <w:rFonts w:ascii="Times New Roman" w:hAnsi="Times New Roman" w:eastAsia="方正仿宋_GBK" w:cs="Times New Roman"/>
                <w:sz w:val="24"/>
                <w:szCs w:val="28"/>
                <w:highlight w:val="none"/>
              </w:rPr>
              <w:t xml:space="preserve">次日7:00</w:t>
            </w:r>
            <w:r/>
          </w:p>
        </w:tc>
        <w:tc>
          <w:tcPr>
            <w:tcW w:w="752"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5分钟</w:t>
            </w:r>
            <w:r/>
          </w:p>
        </w:tc>
        <w:tc>
          <w:tcPr>
            <w:tcW w:w="670"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1小时</w:t>
            </w:r>
            <w:r/>
          </w:p>
        </w:tc>
      </w:tr>
      <w:tr>
        <w:trPr>
          <w:trHeight w:val="467"/>
        </w:trPr>
        <w:tc>
          <w:tcPr>
            <w:tcW w:w="751" w:type="pct"/>
            <w:vAlign w:val="center"/>
            <w:vMerge w:val="restart"/>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四级故障</w:t>
            </w:r>
            <w:r/>
          </w:p>
        </w:tc>
        <w:tc>
          <w:tcPr>
            <w:tcW w:w="1932" w:type="pct"/>
            <w:vAlign w:val="center"/>
            <w:vMerge w:val="restart"/>
            <w:textDirection w:val="lrTb"/>
            <w:noWrap w:val="false"/>
          </w:tcPr>
          <w:p>
            <w:pP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投标人所运维的项目，在一个及以上设区市出现卡顿、延迟等运行效率下降故障。</w:t>
            </w:r>
            <w:r/>
          </w:p>
        </w:tc>
        <w:tc>
          <w:tcPr>
            <w:tcW w:w="895"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7:00-20:00</w:t>
            </w:r>
            <w:r/>
          </w:p>
        </w:tc>
        <w:tc>
          <w:tcPr>
            <w:tcW w:w="752"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3分钟</w:t>
            </w:r>
            <w:r/>
          </w:p>
        </w:tc>
        <w:tc>
          <w:tcPr>
            <w:tcW w:w="670"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30分钟</w:t>
            </w:r>
            <w:r/>
          </w:p>
        </w:tc>
      </w:tr>
      <w:tr>
        <w:trPr/>
        <w:tc>
          <w:tcPr>
            <w:tcW w:w="751" w:type="pct"/>
            <w:vAlign w:val="center"/>
            <w:vMerge w:val="continue"/>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r>
            <w:r/>
          </w:p>
        </w:tc>
        <w:tc>
          <w:tcPr>
            <w:tcW w:w="1932" w:type="pct"/>
            <w:vAlign w:val="center"/>
            <w:vMerge w:val="continue"/>
            <w:textDirection w:val="lrTb"/>
            <w:noWrap w:val="false"/>
          </w:tcPr>
          <w:p>
            <w:pP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r>
            <w:r/>
          </w:p>
        </w:tc>
        <w:tc>
          <w:tcPr>
            <w:tcW w:w="895"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20:00</w:t>
            </w:r>
            <w:r>
              <w:rPr>
                <w:rFonts w:hint="eastAsia" w:ascii="Times New Roman" w:hAnsi="Times New Roman" w:eastAsia="方正仿宋_GBK" w:cs="Times New Roman"/>
                <w:sz w:val="24"/>
                <w:szCs w:val="28"/>
                <w:highlight w:val="none"/>
              </w:rPr>
              <w:t xml:space="preserve">－</w:t>
            </w:r>
            <w:r>
              <w:rPr>
                <w:rFonts w:ascii="Times New Roman" w:hAnsi="Times New Roman" w:eastAsia="方正仿宋_GBK" w:cs="Times New Roman"/>
                <w:sz w:val="24"/>
                <w:szCs w:val="28"/>
                <w:highlight w:val="none"/>
              </w:rPr>
              <w:t xml:space="preserve">次日7:00</w:t>
            </w:r>
            <w:r/>
          </w:p>
        </w:tc>
        <w:tc>
          <w:tcPr>
            <w:tcW w:w="752"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5分钟</w:t>
            </w:r>
            <w:r/>
          </w:p>
        </w:tc>
        <w:tc>
          <w:tcPr>
            <w:tcW w:w="670"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1.5小时</w:t>
            </w:r>
            <w:r/>
          </w:p>
        </w:tc>
      </w:tr>
    </w:tbl>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运维人员在解决故障时，要最大限度保护数据，将系统恢复到故障点前的业务状态，同时做好故障恢复文档记录。对于一级故障，如果不能在20分钟内解决故障，要启动应急预案，并在故障解决后24小时内，提交故障处理报告，说明故障种类、故障原因、故障解决中使用的方法及故障损失等，并梳理形成详细运维服务文档，方便分析问题，保证工作交接</w:t>
      </w:r>
      <w:r>
        <w:rPr>
          <w:rFonts w:hint="eastAsia" w:ascii="Times New Roman" w:hAnsi="Times New Roman" w:eastAsia="方正仿宋_GBK" w:cs="Times New Roman"/>
          <w:sz w:val="32"/>
          <w:szCs w:val="32"/>
          <w:highlight w:val="none"/>
        </w:rPr>
        <w:t xml:space="preserve">的延续性</w:t>
      </w:r>
      <w:r>
        <w:rPr>
          <w:rFonts w:ascii="Times New Roman" w:hAnsi="Times New Roman" w:eastAsia="方正仿宋_GBK" w:cs="Times New Roman"/>
          <w:sz w:val="32"/>
          <w:szCs w:val="32"/>
          <w:highlight w:val="none"/>
        </w:rPr>
        <w:t xml:space="preserve">。</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因系统漏洞、运行监控和风险排查不到位、运维人员操作不当等供应商原因，引发系统故障且未在故障解决时限内完成处理的，将按照故障等级在服务项目验收综合考核评价中扣分，扣分标准详见“项目验收及综合考评评价要求”章节。</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八</w:t>
      </w:r>
      <w:r>
        <w:rPr>
          <w:rFonts w:ascii="Times New Roman" w:hAnsi="Times New Roman" w:eastAsia="方正黑体_GBK" w:cs="Times New Roman"/>
          <w:sz w:val="32"/>
          <w:szCs w:val="32"/>
          <w:highlight w:val="none"/>
        </w:rPr>
        <w:t xml:space="preserve">、项目验收及综合考评评价要求</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1.供应商应接受采购人及采购人指定的总集服务团队对其提出的监督管理、人员调度、任务分派、考核评价等方面要求，严格按照全省医保信息平台相关运维管理规范开展运维服务。采购人有权组织设区市医保局、经办机构、定点医药机构等服务对象，对运维服务内容、质量和效果进行验收，包括签订合同后服务满12个月的阶段性验收以及服务期满后的最终验收</w:t>
      </w:r>
      <w:r>
        <w:rPr>
          <w:rFonts w:hint="eastAsia" w:ascii="Times New Roman" w:hAnsi="Times New Roman" w:eastAsia="方正仿宋_GBK" w:cs="Times New Roman"/>
          <w:sz w:val="32"/>
          <w:szCs w:val="32"/>
          <w:highlight w:val="none"/>
        </w:rPr>
        <w:t xml:space="preserve">。</w:t>
      </w:r>
      <w:r>
        <w:rPr>
          <w:rFonts w:ascii="Times New Roman" w:hAnsi="Times New Roman" w:eastAsia="方正仿宋_GBK" w:cs="Times New Roman"/>
          <w:sz w:val="32"/>
          <w:szCs w:val="32"/>
          <w:highlight w:val="none"/>
        </w:rPr>
        <w:t xml:space="preserve">采购人在验收的同时可以根据招投标文件及合同的约定进行综合考核评价，包括但不限于运维人员数量、资质、能力，运维服务规范性、全面性、专业性、时效性、安全性，运维文档规范性、准确性、完整性等方面。</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2.采购人在组织履约验收前，将根据项目特点制定验收方案，明确履约验收的时间、方式、程序等内容，并可根据项目特点对服务期内的服务实施情况进行分期综合考核，对综合考核情况及服务效果进行验收。供应商应根据验收方案内容做好相应配合工作。</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3.对于实际使用人和采购人分离的项目，采购人有权邀请实际使用人参与验收和综合考核评价。</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4.如有必要，采购人有权邀请参加江苏省医疗保障信息平台建设的其他承建厂商或第三方专业机构及专家参与验收和综合考核评价。</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5.供应商应在验收时间到达后主动向采购人提供相应服务期内的项目维护报告和文档，采购人在收到上述材料后五个工作</w:t>
      </w:r>
      <w:r>
        <w:rPr>
          <w:rFonts w:hint="eastAsia" w:ascii="Times New Roman" w:hAnsi="Times New Roman" w:eastAsia="方正仿宋_GBK" w:cs="Times New Roman"/>
          <w:sz w:val="32"/>
          <w:szCs w:val="32"/>
          <w:highlight w:val="none"/>
        </w:rPr>
        <w:t xml:space="preserve">日内</w:t>
      </w:r>
      <w:r>
        <w:rPr>
          <w:rFonts w:ascii="Times New Roman" w:hAnsi="Times New Roman" w:eastAsia="方正仿宋_GBK" w:cs="Times New Roman"/>
          <w:sz w:val="32"/>
          <w:szCs w:val="32"/>
          <w:highlight w:val="none"/>
        </w:rPr>
        <w:t xml:space="preserve">成立验收小组，并按照招投标文件及合同约定对供应商的履约情况进行验收。验收时，采购人有权按照招投标文件及合同约定对每一项技术、服务、安全标准的履约情况进行确认。</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6.采购人验收小组应于验收结束后3个工作日内出具验收书，列明各项标准的验收情况及项目总体评价，由验收双方共同签署。如采购人未在上述期内验收且未就供应商服务质量提出书面异议，视为验收合格。</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7.验收结果与招投标文件及合同约定的合同价款支付条件挂钩，履约验收的各项资料存档备查。验收合格的项目，采购人根据合同的约定及时向供应商支付合同款项。验收不合格的项目，供应商应在采购人要求的期限内进行整改。</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8.供应商在履约过程中出现政府采购法律法规规定的违法违规情形的，采购人将及时报告本级财政部门。</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九、商务条款</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（一）服务期</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项目服务期：自合同签订之日起2年</w:t>
      </w:r>
      <w:r>
        <w:rPr>
          <w:rFonts w:ascii="Times New Roman" w:hAnsi="Times New Roman" w:eastAsia="方正仿宋_GBK" w:cs="Times New Roman"/>
          <w:sz w:val="32"/>
          <w:szCs w:val="32"/>
          <w:highlight w:val="none"/>
        </w:rPr>
        <w:t xml:space="preserve">。</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（二）预算说明</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项目预算包含投标人开展本项目工作所需一切费用。</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（三）款项支付</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1.签订合同且本项目所需的全部</w:t>
      </w:r>
      <w:r>
        <w:rPr>
          <w:rFonts w:hint="eastAsia" w:ascii="Times New Roman" w:hAnsi="Times New Roman" w:eastAsia="方正仿宋_GBK" w:cs="Times New Roman"/>
          <w:sz w:val="32"/>
          <w:szCs w:val="32"/>
          <w:highlight w:val="none"/>
        </w:rPr>
        <w:t xml:space="preserve">服务</w:t>
      </w:r>
      <w:r>
        <w:rPr>
          <w:rFonts w:ascii="Times New Roman" w:hAnsi="Times New Roman" w:eastAsia="方正仿宋_GBK" w:cs="Times New Roman"/>
          <w:sz w:val="32"/>
          <w:szCs w:val="32"/>
          <w:highlight w:val="none"/>
        </w:rPr>
        <w:t xml:space="preserve">人员进场后，采购人向供应商支付合同总价</w:t>
      </w:r>
      <w:r>
        <w:rPr>
          <w:rFonts w:hint="eastAsia" w:ascii="Times New Roman" w:hAnsi="Times New Roman" w:eastAsia="方正仿宋_GBK" w:cs="Times New Roman"/>
          <w:sz w:val="32"/>
          <w:szCs w:val="32"/>
          <w:highlight w:val="none"/>
        </w:rPr>
        <w:t xml:space="preserve">30</w:t>
      </w:r>
      <w:r>
        <w:rPr>
          <w:rFonts w:ascii="Times New Roman" w:hAnsi="Times New Roman" w:eastAsia="方正仿宋_GBK" w:cs="Times New Roman"/>
          <w:sz w:val="32"/>
          <w:szCs w:val="32"/>
          <w:highlight w:val="none"/>
        </w:rPr>
        <w:t xml:space="preserve">%；</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2.签订合同后服务满12个月，采购人或其委托人组织对项目服务内容、质量和效果进行阶段性验收，</w:t>
      </w:r>
      <w:r>
        <w:rPr>
          <w:rFonts w:ascii="Times New Roman" w:hAnsi="Times New Roman" w:eastAsia="方正仿宋_GBK" w:cs="Times New Roman"/>
          <w:sz w:val="32"/>
          <w:szCs w:val="32"/>
          <w:highlight w:val="none"/>
        </w:rPr>
        <w:t xml:space="preserve">并根据项目绩效考核评分细则形成考核评价分数</w:t>
      </w:r>
      <w:r>
        <w:rPr>
          <w:rFonts w:hint="eastAsia" w:ascii="Times New Roman" w:hAnsi="Times New Roman" w:eastAsia="方正仿宋_GBK" w:cs="Times New Roman"/>
          <w:sz w:val="32"/>
          <w:szCs w:val="32"/>
          <w:highlight w:val="none"/>
        </w:rPr>
        <w:t xml:space="preserve">。采购人应在供应商考核评价分数出具后支付该阶段的合同价款，如果供应商考核评价分数为100分的，采购人应自供应商考核评价分数出具后支付合同总价款的30%，如果供应商考核评价分数不足100分的，采购人有权按约定在合同总价款30%的基础上减值支付合同价款且扣除的合同价款后期不再支付，供应商不得持任何异议，具体支付方式如下：</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（1）考核评价得分在90分（含）以上，且供应商对存在问题通过改进和完善完全达到合同约定标准，采购人应自供应商将全部问题改进和完善且得到采购人确认后支付合同总价款的</w:t>
      </w:r>
      <w:r>
        <w:rPr>
          <w:rFonts w:hint="eastAsia" w:ascii="Times New Roman" w:hAnsi="Times New Roman" w:eastAsia="方正仿宋_GBK" w:cs="Times New Roman"/>
          <w:sz w:val="32"/>
          <w:szCs w:val="32"/>
          <w:highlight w:val="none"/>
        </w:rPr>
        <w:t xml:space="preserve">30%</w:t>
      </w:r>
      <w:r>
        <w:rPr>
          <w:rFonts w:hint="eastAsia" w:ascii="Times New Roman" w:hAnsi="Times New Roman" w:eastAsia="方正仿宋_GBK" w:cs="Times New Roman"/>
          <w:sz w:val="32"/>
          <w:szCs w:val="32"/>
          <w:highlight w:val="none"/>
        </w:rPr>
        <w:t xml:space="preserve">，如果供应商未能将全部问题改进和完善的，采购人有权减值支付，采购人有权根据实际情况自主决定减值金额；</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考核评价得分在80分（含）至90分之间，采购人有权减值支付该节点的合同款项，减值金额原则上为（90－考核评价得分）×1%×合同总价，但采购人有权视供应商对其存在问题整改情况合理调整减值金额，供应商应予接受；</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考核评价得分在75分（含）至80分之间，采购人有权减值支付该节点的合同款项，减值金额原则上为〔（80－考核评价得分）×2%+10%〕×合同总价，但采购人有权视供应商对其存在问题整改情况合理调整减值金额，供应商应予接受；</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4）考核评价得分在75分以下，该节点合同款项原则上不予支付，采购人有权选择解除合同或继续履行合同，如果采购人选择继续履行合同的，供应商应在采购人要求的期限内进行整改，如果供应商整改后重新考核评价在75分（含）以上的，采购人有权减值支付该节点合同款项，但减值金额由采购人根据实际情况自行确定，供应商应予接受。</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3.服务期满后，采购人或其委托人组织对项目服务内容、质量和效果进行最终验收，</w:t>
      </w:r>
      <w:r>
        <w:rPr>
          <w:rFonts w:ascii="Times New Roman" w:hAnsi="Times New Roman" w:eastAsia="方正仿宋_GBK" w:cs="Times New Roman"/>
          <w:sz w:val="32"/>
          <w:szCs w:val="32"/>
          <w:highlight w:val="none"/>
        </w:rPr>
        <w:t xml:space="preserve">并根据项目绩效考核评分细则形成考核评价分数</w:t>
      </w:r>
      <w:r>
        <w:rPr>
          <w:rFonts w:hint="eastAsia" w:ascii="Times New Roman" w:hAnsi="Times New Roman" w:eastAsia="方正仿宋_GBK" w:cs="Times New Roman"/>
          <w:sz w:val="32"/>
          <w:szCs w:val="32"/>
          <w:highlight w:val="none"/>
        </w:rPr>
        <w:t xml:space="preserve">。采购人应在供应商考核评价分数出具后支付该阶段的合同价款，如果供应商考核评价分数为100分的，采购人应自供应商考核评价分数出具后支付合同总价款的</w:t>
      </w:r>
      <w:r>
        <w:rPr>
          <w:rFonts w:hint="eastAsia" w:ascii="Times New Roman" w:hAnsi="Times New Roman" w:eastAsia="方正仿宋_GBK" w:cs="Times New Roman"/>
          <w:sz w:val="32"/>
          <w:szCs w:val="32"/>
          <w:highlight w:val="none"/>
        </w:rPr>
        <w:t xml:space="preserve">40%</w:t>
      </w:r>
      <w:r>
        <w:rPr>
          <w:rFonts w:hint="eastAsia" w:ascii="Times New Roman" w:hAnsi="Times New Roman" w:eastAsia="方正仿宋_GBK" w:cs="Times New Roman"/>
          <w:sz w:val="32"/>
          <w:szCs w:val="32"/>
          <w:highlight w:val="none"/>
        </w:rPr>
        <w:t xml:space="preserve">，如果供应商考核评价分数不足100分的，采购人有权按约定在合同总价款</w:t>
      </w:r>
      <w:r>
        <w:rPr>
          <w:rFonts w:hint="eastAsia" w:ascii="Times New Roman" w:hAnsi="Times New Roman" w:eastAsia="方正仿宋_GBK" w:cs="Times New Roman"/>
          <w:sz w:val="32"/>
          <w:szCs w:val="32"/>
          <w:highlight w:val="none"/>
        </w:rPr>
        <w:t xml:space="preserve">40%</w:t>
      </w:r>
      <w:r>
        <w:rPr>
          <w:rFonts w:hint="eastAsia" w:ascii="Times New Roman" w:hAnsi="Times New Roman" w:eastAsia="方正仿宋_GBK" w:cs="Times New Roman"/>
          <w:sz w:val="32"/>
          <w:szCs w:val="32"/>
          <w:highlight w:val="none"/>
        </w:rPr>
        <w:t xml:space="preserve">的基础上减值支付合同价款且扣除的合同价款后期不再支付，供应商不得持任何异议，具体支付方式如下：</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（1）考核评价得分在90分（含）以上，且供应商对存在问题通过改进和完善完全达到合同约定标准，采购人应自供应商将全部问题改进和完善且得到采购人确认后支付合同总价款的</w:t>
      </w:r>
      <w:r>
        <w:rPr>
          <w:rFonts w:hint="eastAsia" w:ascii="Times New Roman" w:hAnsi="Times New Roman" w:eastAsia="方正仿宋_GBK" w:cs="Times New Roman"/>
          <w:sz w:val="32"/>
          <w:szCs w:val="32"/>
          <w:highlight w:val="none"/>
        </w:rPr>
        <w:t xml:space="preserve">40%</w:t>
      </w:r>
      <w:r>
        <w:rPr>
          <w:rFonts w:hint="eastAsia" w:ascii="Times New Roman" w:hAnsi="Times New Roman" w:eastAsia="方正仿宋_GBK" w:cs="Times New Roman"/>
          <w:sz w:val="32"/>
          <w:szCs w:val="32"/>
          <w:highlight w:val="none"/>
        </w:rPr>
        <w:t xml:space="preserve">，如果供应商未能将全部问题改进和完善的，采购人有权减值支付，采购人有权根据实际情况自主决定减值金额；</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考核评价得分在80分（含）至90分之间，采购人有权减值支付该节点的合同款项，减值金额原则上为（90－考核评价得分）×1%×合同总价，但采购人有权视供应商对其存在问题整改情况合理调整减值金额，供应商应予接受；</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考核评价得分在75分（含）至80分之间，采购人有权减值支付该节点的合同款项，减值金额原则上为〔（80－考核评价得分）×2%+10%〕×合同总价，但采购人有权视供应商对其存在问题整改情况合理调整减值金额，供应商应予接受；</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4）考核评价得分在75分以下，采购人有权选择解除合同或继续履行合同，如果采购人选择继续履行合同的，供应商应在采购人要求的期限内进行整改，如果供应商整改后重新考核评价在75分（含）以上的，采购人有权减值支付该节点合同款项，但减值金额由采购人根据实际情况自行确定，供应商应予接受。</w:t>
      </w:r>
      <w:r/>
    </w:p>
    <w:p>
      <w:pPr>
        <w:ind w:firstLine="640"/>
        <w:spacing w:line="560" w:lineRule="exact"/>
        <w:rPr>
          <w:rFonts w:asciiTheme="minorHAnsi" w:hAnsiTheme="minorHAnsi" w:eastAsiaTheme="minorEastAsia" w:cstheme="minorBidi"/>
          <w:highlight w:val="none"/>
        </w:rPr>
      </w:pPr>
      <w:r>
        <w:rPr>
          <w:rFonts w:hint="eastAsia" w:ascii="Times New Roman" w:hAnsi="Times New Roman" w:eastAsia="方正仿宋_GBK" w:cs="Times New Roman"/>
          <w:sz w:val="32"/>
          <w:szCs w:val="32"/>
          <w:highlight w:val="none"/>
        </w:rPr>
        <w:t xml:space="preserve">4. 每次付款前，供应商应提前向采购人开具等额增值税发票，采购人在收到供应商发票后1个月内支付相应款项，采购人未收到开票或供应商开具发票不合格的，有权拒绝付款。</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（四）履约保证金</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本项目履约保证金为合同总价的5%，中标人应在合同签订前以电子履约保函（保险）的形式提交给采购人，中标人未缴纳履约保证金的，采购人有权拒绝签订书面合同。</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在项目服务期满后，且中标人无任何违约责任的情况下退还（不计息）。如中标人违反合同规定，采购人有权根据合同条款从履约保证金中扣除相应的违约金额。中标人因自身原因未能完全履行合同的，履约保证金不予退回。</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（五）投标货币</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人民币。</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十、保密要求</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w:t>
      </w:r>
      <w:r>
        <w:rPr>
          <w:rFonts w:ascii="Times New Roman" w:hAnsi="Times New Roman" w:eastAsia="方正仿宋_GBK" w:cs="Times New Roman"/>
          <w:sz w:val="32"/>
          <w:szCs w:val="32"/>
          <w:highlight w:val="none"/>
        </w:rPr>
        <w:t xml:space="preserve">投标人</w:t>
      </w:r>
      <w:r>
        <w:rPr>
          <w:rFonts w:hint="eastAsia" w:ascii="Times New Roman" w:hAnsi="Times New Roman" w:eastAsia="方正仿宋_GBK" w:cs="Times New Roman"/>
          <w:sz w:val="32"/>
          <w:szCs w:val="32"/>
          <w:highlight w:val="none"/>
        </w:rPr>
        <w:t xml:space="preserve">须对本项目技术文件、采购人提供的所有内部资料、技术文档、系统数据（包含原始数据和衍生数据）和信息予以保密。</w:t>
      </w:r>
      <w:r>
        <w:rPr>
          <w:rFonts w:ascii="Times New Roman" w:hAnsi="Times New Roman" w:eastAsia="方正仿宋_GBK" w:cs="Times New Roman"/>
          <w:sz w:val="32"/>
          <w:szCs w:val="32"/>
          <w:highlight w:val="none"/>
        </w:rPr>
        <w:t xml:space="preserve">投标人</w:t>
      </w:r>
      <w:r>
        <w:rPr>
          <w:rFonts w:hint="eastAsia" w:ascii="Times New Roman" w:hAnsi="Times New Roman" w:eastAsia="方正仿宋_GBK" w:cs="Times New Roman"/>
          <w:sz w:val="32"/>
          <w:szCs w:val="32"/>
          <w:highlight w:val="none"/>
        </w:rPr>
        <w:t xml:space="preserve">必须与采购人签订保密协议和外包网络安全协议，并严格遵守。</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w:t>
      </w:r>
      <w:r>
        <w:rPr>
          <w:rFonts w:ascii="Times New Roman" w:hAnsi="Times New Roman" w:eastAsia="方正仿宋_GBK" w:cs="Times New Roman"/>
          <w:sz w:val="32"/>
          <w:szCs w:val="32"/>
          <w:highlight w:val="none"/>
        </w:rPr>
        <w:t xml:space="preserve">投标人</w:t>
      </w:r>
      <w:r>
        <w:rPr>
          <w:rFonts w:hint="eastAsia" w:ascii="Times New Roman" w:hAnsi="Times New Roman" w:eastAsia="方正仿宋_GBK" w:cs="Times New Roman"/>
          <w:sz w:val="32"/>
          <w:szCs w:val="32"/>
          <w:highlight w:val="none"/>
        </w:rPr>
        <w:t xml:space="preserve">提供的项目实施团队和运维团队成员须签订保密承诺书，承诺内容需得到采购人认可，并与保密协议和外包网络安全协议一并提交给采购人。</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十一、违约责任</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1.如果因供应商原因，导致医保信息平台发生运行故障或医保数据泄露，只要供应商一旦发生上述情形且不管持续时间长短，供应商应支付合同总价款10%的违约金，违约金不足以弥补损失的（包括给采购人及其他第三人造成的损失），采购人有权要求供应商按照实际损失赔偿；供应商在服务期内连续两次发生一级故障或引发重大社会舆情的严重网络安全事件的，采购人有权解除合同，供应商应向采购人支付合同总价款</w:t>
      </w:r>
      <w:r>
        <w:rPr>
          <w:rFonts w:hint="eastAsia" w:ascii="Times New Roman" w:hAnsi="Times New Roman" w:eastAsia="方正仿宋_GBK" w:cs="Times New Roman"/>
          <w:sz w:val="32"/>
          <w:szCs w:val="32"/>
          <w:highlight w:val="none"/>
        </w:rPr>
        <w:t xml:space="preserve">3</w:t>
      </w:r>
      <w:r>
        <w:rPr>
          <w:rFonts w:ascii="Times New Roman" w:hAnsi="Times New Roman" w:eastAsia="方正仿宋_GBK" w:cs="Times New Roman"/>
          <w:sz w:val="32"/>
          <w:szCs w:val="32"/>
          <w:highlight w:val="none"/>
        </w:rPr>
        <w:t xml:space="preserve">0%的解除合同违约金，违约金不足以弥补损失的，采购人有权要求供应商按照实际损失赔偿。</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2.根据商务条款要求，供应商考核评价得分在75分以下，且采购人直接解除合同的，供应商应向采购人支付合同总价款</w:t>
      </w:r>
      <w:r>
        <w:rPr>
          <w:rFonts w:hint="eastAsia" w:ascii="Times New Roman" w:hAnsi="Times New Roman" w:eastAsia="方正仿宋_GBK" w:cs="Times New Roman"/>
          <w:sz w:val="32"/>
          <w:szCs w:val="32"/>
          <w:highlight w:val="none"/>
        </w:rPr>
        <w:t xml:space="preserve">3</w:t>
      </w:r>
      <w:r>
        <w:rPr>
          <w:rFonts w:ascii="Times New Roman" w:hAnsi="Times New Roman" w:eastAsia="方正仿宋_GBK" w:cs="Times New Roman"/>
          <w:sz w:val="32"/>
          <w:szCs w:val="32"/>
          <w:highlight w:val="none"/>
        </w:rPr>
        <w:t xml:space="preserve">0%的解除合同违约金，违约金不足以弥补损失的，采购人有权要求供应商按照实际损失赔偿。</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3.如果供应商未足额提供运维人员，或未经采购人许可更换运维人员，且在采购人发出书面整改通知之后10个工作日未完成整改的，采购人有权解除合同，供应商应向采购人支付合同总价款</w:t>
      </w:r>
      <w:r>
        <w:rPr>
          <w:rFonts w:hint="eastAsia" w:ascii="Times New Roman" w:hAnsi="Times New Roman" w:eastAsia="方正仿宋_GBK" w:cs="Times New Roman"/>
          <w:sz w:val="32"/>
          <w:szCs w:val="32"/>
          <w:highlight w:val="none"/>
        </w:rPr>
        <w:t xml:space="preserve">3</w:t>
      </w:r>
      <w:r>
        <w:rPr>
          <w:rFonts w:ascii="Times New Roman" w:hAnsi="Times New Roman" w:eastAsia="方正仿宋_GBK" w:cs="Times New Roman"/>
          <w:sz w:val="32"/>
          <w:szCs w:val="32"/>
          <w:highlight w:val="none"/>
        </w:rPr>
        <w:t xml:space="preserve">0%的解除合同违约金，违约金不足以弥补损失的，采购人有权要求供应商按照实际损失赔偿。</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4.合同履行期限内，任何一方不得随意终止或解除合同。一方需要终止或解除合同的，应提前30天通知对方，并获得对方书面同意。如果一方未经另一方允许擅自终止或解除合同，违约方应向守约方支付合同总价款</w:t>
      </w:r>
      <w:r>
        <w:rPr>
          <w:rFonts w:hint="eastAsia" w:ascii="Times New Roman" w:hAnsi="Times New Roman" w:eastAsia="方正仿宋_GBK" w:cs="Times New Roman"/>
          <w:sz w:val="32"/>
          <w:szCs w:val="32"/>
          <w:highlight w:val="none"/>
        </w:rPr>
        <w:t xml:space="preserve">3</w:t>
      </w:r>
      <w:r>
        <w:rPr>
          <w:rFonts w:ascii="Times New Roman" w:hAnsi="Times New Roman" w:eastAsia="方正仿宋_GBK" w:cs="Times New Roman"/>
          <w:sz w:val="32"/>
          <w:szCs w:val="32"/>
          <w:highlight w:val="none"/>
        </w:rPr>
        <w:t xml:space="preserve">0%的解除合同违约金，违约金不足以弥补损失的，守约方有权要求违约方按照实际损失赔偿。</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5.合同履行期内，除本合同约定外，供应商发生其他违反招投标文件、合同约定的情形的，每发生一次，供应商应支付合同总价款5%的违约金，违约金不足以弥补损失的，采购人有权要求供应商按照实际损失赔偿；供应商累计发生超过三次的，采购人有权解除合同，供应商应向采购人支付合同总价款</w:t>
      </w:r>
      <w:r>
        <w:rPr>
          <w:rFonts w:hint="eastAsia" w:ascii="Times New Roman" w:hAnsi="Times New Roman" w:eastAsia="方正仿宋_GBK" w:cs="Times New Roman"/>
          <w:sz w:val="32"/>
          <w:szCs w:val="32"/>
          <w:highlight w:val="none"/>
        </w:rPr>
        <w:t xml:space="preserve">3</w:t>
      </w:r>
      <w:r>
        <w:rPr>
          <w:rFonts w:ascii="Times New Roman" w:hAnsi="Times New Roman" w:eastAsia="方正仿宋_GBK" w:cs="Times New Roman"/>
          <w:sz w:val="32"/>
          <w:szCs w:val="32"/>
          <w:highlight w:val="none"/>
        </w:rPr>
        <w:t xml:space="preserve">0%的解除合同违约金，违约金不足以弥补损失的，采购人有权要求供应商按照实际损失赔偿。</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6.如果供应商未经采购人书面同意，将合同项下的权利义务全部或部分转让给第三方的，采购人有权解除合同，供应商应向采购人支付合同总价款</w:t>
      </w:r>
      <w:r>
        <w:rPr>
          <w:rFonts w:hint="eastAsia" w:ascii="Times New Roman" w:hAnsi="Times New Roman" w:eastAsia="方正仿宋_GBK" w:cs="Times New Roman"/>
          <w:sz w:val="32"/>
          <w:szCs w:val="32"/>
          <w:highlight w:val="none"/>
        </w:rPr>
        <w:t xml:space="preserve">3</w:t>
      </w:r>
      <w:r>
        <w:rPr>
          <w:rFonts w:ascii="Times New Roman" w:hAnsi="Times New Roman" w:eastAsia="方正仿宋_GBK" w:cs="Times New Roman"/>
          <w:sz w:val="32"/>
          <w:szCs w:val="32"/>
          <w:highlight w:val="none"/>
        </w:rPr>
        <w:t xml:space="preserve">0%的解除合同违约金，违约金不足以弥补损失的，采购人有权要求供应商按照实际损失赔偿。</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7.供应商在提供服务时，如果造成采购人财产、采购人人员人身财产损失的，由供应商负责赔偿。</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8.供应商在提供服务时，应对自身人员的安全负责，供应商人员发生的人身财产损失与采购人无关。</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9.如果因供应商原因（包括但不限于供应商提供的服务不当、供应商违约等）造成第三人人身财产损失的，供应商除按本合同约定向采购人支付违约赔偿金外，还应赔偿第三人因此造成的损失。</w:t>
      </w:r>
      <w:r/>
    </w:p>
    <w:p>
      <w:pPr>
        <w:ind w:firstLine="640"/>
        <w:spacing w:line="560" w:lineRule="exact"/>
        <w:rPr>
          <w:rFonts w:ascii="Times New Roman" w:hAnsi="Times New Roman" w:cs="Times New Roman" w:eastAsiaTheme="minorEastAsia"/>
          <w:szCs w:val="24"/>
          <w:highlight w:val="none"/>
        </w:rPr>
      </w:pPr>
      <w:r>
        <w:rPr>
          <w:rFonts w:ascii="Times New Roman" w:hAnsi="Times New Roman" w:eastAsia="方正仿宋_GBK" w:cs="Times New Roman"/>
          <w:sz w:val="32"/>
          <w:szCs w:val="32"/>
          <w:highlight w:val="none"/>
        </w:rPr>
        <w:t xml:space="preserve">10.因一方违约产生的费用，包括但不限于律师费、差旅费、诉讼费、保全费、执行费、诉讼财产保全责任险费、执行费等，由败诉方全额承担。</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十二、其他要求</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本项目不接受进口产品投标。</w:t>
      </w:r>
      <w:r/>
    </w:p>
    <w:p>
      <w:pPr>
        <w:rPr>
          <w:rFonts w:ascii="Times New Roman" w:hAnsi="Times New Roman" w:eastAsia="方正黑体_GBK" w:cs="Times New Roman"/>
          <w:sz w:val="32"/>
          <w:szCs w:val="32"/>
          <w:highlight w:val="none"/>
        </w:rPr>
      </w:pPr>
      <w:r>
        <w:rPr>
          <w:rFonts w:hint="eastAsia" w:ascii="Times New Roman" w:hAnsi="Times New Roman" w:eastAsia="方正黑体_GBK" w:cs="Times New Roman"/>
          <w:sz w:val="32"/>
          <w:szCs w:val="32"/>
          <w:highlight w:val="none"/>
        </w:rPr>
        <w:br w:type="page" w:clear="all"/>
      </w:r>
      <w:r/>
    </w:p>
    <w:p>
      <w:pPr>
        <w:ind w:firstLine="640"/>
        <w:jc w:val="center"/>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分包二采购需求</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一、运维服务范围</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分包二为公共服务子系统运维服务，包括江苏医保云（含APP、微信/支付宝小程序）、网上服务大厅（含单位网厅、个人网厅、学校网厅）和基层网厅运行维护，及时发现排查故障隐患，持续优化完善系统功能，提升运行效能，确保系统安全、平稳、高效运行。</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二、运维服务内容及要求</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（一）系统运行监控</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开展公共服务子系统日常巡检，实时监控系统负载、服务链路运行状态，及时排查各类潜在风险隐患，保障业务连续平稳运行。在总集服务团队统筹调度下，协同做好网络故障处置、云平台性能评测及参数调优等基础设施运维工作，提出资源配置优化、运行效能提质等方面意见建议。</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（二）中台体系运维</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做好公共服务区业务中台（含移动支付中心、电子凭证中心等）各类核心组件的常态化运维保障，定期开展组件巡检、状态监测、性能调优与兼容性调试。根据业务迭代及系统升级需求，有序完成版本升级、接口联调与参数配置优化，及时排查并修复中台调用异常、数据转发失败、服务超时等问题，全面保障各中台服务稳定、高效调用。</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（三）问题和需求处理</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处理</w:t>
      </w:r>
      <w:r>
        <w:rPr>
          <w:rFonts w:hint="eastAsia" w:ascii="Times New Roman" w:hAnsi="Times New Roman" w:eastAsia="方正仿宋_GBK" w:cs="Times New Roman"/>
          <w:sz w:val="32"/>
          <w:szCs w:val="32"/>
          <w:highlight w:val="none"/>
        </w:rPr>
        <w:t xml:space="preserve">江苏医保云</w:t>
      </w:r>
      <w:r>
        <w:rPr>
          <w:rFonts w:ascii="Times New Roman" w:hAnsi="Times New Roman" w:eastAsia="方正仿宋_GBK" w:cs="Times New Roman"/>
          <w:sz w:val="32"/>
          <w:szCs w:val="32"/>
          <w:highlight w:val="none"/>
        </w:rPr>
        <w:t xml:space="preserve">（包括Android、iOS、HarmonyOS）</w:t>
      </w:r>
      <w:r>
        <w:rPr>
          <w:rFonts w:hint="eastAsia" w:ascii="Times New Roman" w:hAnsi="Times New Roman" w:eastAsia="方正仿宋_GBK" w:cs="Times New Roman"/>
          <w:sz w:val="32"/>
          <w:szCs w:val="32"/>
          <w:highlight w:val="none"/>
        </w:rPr>
        <w:t xml:space="preserve">、网上服务大厅、基层网厅，以及国家医保服务平台APP、苏服办APP、江苏政务服务网等第三方对接渠道</w:t>
      </w:r>
      <w:r>
        <w:rPr>
          <w:rFonts w:ascii="Times New Roman" w:hAnsi="Times New Roman" w:eastAsia="方正仿宋_GBK" w:cs="Times New Roman"/>
          <w:sz w:val="32"/>
          <w:szCs w:val="32"/>
          <w:highlight w:val="none"/>
        </w:rPr>
        <w:t xml:space="preserve">的</w:t>
      </w:r>
      <w:r>
        <w:rPr>
          <w:rFonts w:hint="eastAsia" w:ascii="Times New Roman" w:hAnsi="Times New Roman" w:eastAsia="方正仿宋_GBK" w:cs="Times New Roman"/>
          <w:sz w:val="32"/>
          <w:szCs w:val="32"/>
          <w:highlight w:val="none"/>
        </w:rPr>
        <w:t xml:space="preserve">问题</w:t>
      </w:r>
      <w:r>
        <w:rPr>
          <w:rFonts w:ascii="Times New Roman" w:hAnsi="Times New Roman" w:eastAsia="方正仿宋_GBK" w:cs="Times New Roman"/>
          <w:sz w:val="32"/>
          <w:szCs w:val="32"/>
          <w:highlight w:val="none"/>
        </w:rPr>
        <w:t xml:space="preserve">和需求工单</w:t>
      </w:r>
      <w:r>
        <w:rPr>
          <w:rFonts w:hint="eastAsia" w:ascii="Times New Roman" w:hAnsi="Times New Roman" w:eastAsia="方正仿宋_GBK" w:cs="Times New Roman"/>
          <w:sz w:val="32"/>
          <w:szCs w:val="32"/>
          <w:highlight w:val="none"/>
        </w:rPr>
        <w:t xml:space="preserve">，协调解决各类问题和需求，持续优化服务流程及内容。</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（四）系统迭代优化</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持续优化系统架构与业务流程，配合业务部门开展需求调研，评估需求合理性与落地可行性。遵循国家局医疗保障信息平台统一技术架构和标准规范，按时完成功能开发，充分进行测试验证，按流程做好版本发布和上线核验，确保满足业务需求。积极探索运用人工智能技术，提升智能化服务水平。</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（五）医保云运营服务</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受理江苏医保云相关线上或电话咨询，实时响应处理系统操作、业务办理、功能使用各类问题，</w:t>
      </w:r>
      <w:r>
        <w:rPr>
          <w:rFonts w:ascii="Times New Roman" w:hAnsi="Times New Roman" w:eastAsia="方正仿宋_GBK" w:cs="Times New Roman"/>
          <w:sz w:val="32"/>
          <w:szCs w:val="32"/>
          <w:highlight w:val="none"/>
        </w:rPr>
        <w:t xml:space="preserve">化解群众操作使用疑点难点</w:t>
      </w:r>
      <w:r>
        <w:rPr>
          <w:rFonts w:hint="eastAsia" w:ascii="Times New Roman" w:hAnsi="Times New Roman" w:eastAsia="方正仿宋_GBK" w:cs="Times New Roman"/>
          <w:sz w:val="32"/>
          <w:szCs w:val="32"/>
          <w:highlight w:val="none"/>
        </w:rPr>
        <w:t xml:space="preserve">。对</w:t>
      </w:r>
      <w:r>
        <w:rPr>
          <w:rFonts w:ascii="Times New Roman" w:hAnsi="Times New Roman" w:eastAsia="方正仿宋_GBK" w:cs="Times New Roman"/>
          <w:sz w:val="32"/>
          <w:szCs w:val="32"/>
          <w:highlight w:val="none"/>
        </w:rPr>
        <w:t xml:space="preserve">运行数据进行汇总整理、分类统计与深度分析，精准梳理系统运行、业务办理整体情况，形成有效数据支撑。</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（六）外部渠道对接</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按要求完成高效办成“一件事”、基层一平台、苏政源、江苏政务服务网、苏服办APP等政务服务一体化相关对接工作，配合各级医保部门、定点医药机构、金融机构等第三方渠道做好公共服务相关功能对接，并纳入统一管理。</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（七）</w:t>
      </w:r>
      <w:r>
        <w:rPr>
          <w:rFonts w:ascii="Times New Roman" w:hAnsi="Times New Roman" w:eastAsia="方正楷体_GBK" w:cs="Times New Roman"/>
          <w:bCs/>
          <w:sz w:val="32"/>
          <w:szCs w:val="32"/>
          <w:highlight w:val="none"/>
        </w:rPr>
        <w:t xml:space="preserve">便捷支付服务</w:t>
      </w:r>
      <w:r/>
    </w:p>
    <w:p>
      <w:pPr>
        <w:ind w:firstLine="640"/>
        <w:spacing w:line="580" w:lineRule="exact"/>
        <w:rPr>
          <w:rFonts w:ascii="Times New Roman" w:hAnsi="Times New Roman" w:eastAsia="方正仿宋_GBK" w:cstheme="minorBidi"/>
          <w:sz w:val="32"/>
          <w:highlight w:val="none"/>
        </w:rPr>
      </w:pPr>
      <w:r>
        <w:rPr>
          <w:rFonts w:hint="eastAsia" w:ascii="Times New Roman" w:hAnsi="Times New Roman" w:eastAsia="方正仿宋_GBK" w:cstheme="minorBidi"/>
          <w:sz w:val="32"/>
          <w:highlight w:val="none"/>
        </w:rPr>
        <w:t xml:space="preserve">向全省定点医药机构免费提供基于国家医保信息平台标准规范的医保移动支付、一码付，以及基于江苏医保云的医保移动支付、云陪诊等相关接口培训、联调服务和测试工具，在规定时间内完成接口对接。统筹全省全渠道医保移动支付运维，做好单边账处置、账务核对等工作。</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国家和省局下达的工作任务，如需定点医药机构、政府部门、金融、商保公司等第三方进行信息系统接口改造对接，不得向第三方接入对象及其委托的信息系统开发厂商收取费用或设置障碍。如接到第三方相关投诉，经核查属实，采购人可在项目验收综合考评时扣分，并减值支付合同款项。</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（八）运维管理日常工作</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运维管理日常工作主要包括撰写工作报告、组织工作例会、开展工作总结、考核管理等内容。</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1.运维管理工作报告</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以日（周）报形式向采购人报告每日（周）系统运行情况、新发现问题、已解决问题、需求变更评审与执行等情况（有新系统或功能模块上线运行初期以日报形式，采购人确认运行基本稳定后以周报形式报送运维报告）。</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2.运维管理工作例会</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每周（月）召集项目运维例会。并邀请采购人相关业务部门参加。一是对周期内的系统运行情况进行全面梳理与小结；二是对待解决问题清单进行分析与评估，确定优先处理顺序与解决时间表；三是对数量多、影响大或具有典型特点的问题全面梳理与攻关突破，分级分类确定解决方案，复杂问题确定专题会议讨论研究；四是对问题解决路径进行优化与完善，提高排查处理效率；五是要形成会议纪要并报送采购人。</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3.运维管理总结报告</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运维管理总结报告：定期（每月、每季）对项目运维情况进行全面小结并形成书面报告，主要包括分析本期新增问题（需求）数量、本期完成数量、待完成数量、解决率、平均响应时长、平均解决时长等运维服务指标，重点分析超响应时长与解决时长的事件情况，开展用户满意度调查，收集用户反馈意见建议和改进措施，以及下一步工作计划等内容。</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（2）专题分析报告：针对重大突发故障进行专题分析并形成书面报告，主要包括故障描述、发生时间、发生地点、受理时间、响应时间、恢复时间、影响程度与范围，故障原因分析、后续改进计划等内容。</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专项分析报告：每季度组织包括硬件资源专家、云平台资源专家、业务架构师、数据库专家和网络安全专家等组成的巡检专家组，赴项目现场对项目内部执行规范性、平台安全合规性、系统整体监测与优化情况等方面开展专项检查，最大程度发现和收集问题，并推进问题解决。巡检专家组需提前制定工作方案，明确工作目标，并形成专项分析书面报告。</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4.运维服务考核管理</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每月对运维服务内容、质量和效果开展自评，并配合采购人开展月度和验收量化考核。提供运维人员数量、资质、能力，运维服务规范性、全面性、专业性、时效性、安全性，运维文档规范性、准确性、完整性等考核项的相关佐证材料，并根据考核情况及时进行整改。</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（九）其他相关服务</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配合制定全省医保信息平台运维管理制度，规范公共服务子</w:t>
      </w:r>
      <w:r>
        <w:rPr>
          <w:rFonts w:hint="eastAsia" w:eastAsia="方正仿宋_GBK" w:cs="Times New Roman" w:asciiTheme="minorHAnsi" w:hAnsiTheme="minorHAnsi"/>
          <w:sz w:val="32"/>
          <w:szCs w:val="32"/>
          <w:highlight w:val="none"/>
        </w:rPr>
        <w:t xml:space="preserve">系统</w:t>
      </w:r>
      <w:r>
        <w:rPr>
          <w:rFonts w:hint="eastAsia" w:ascii="Times New Roman" w:hAnsi="Times New Roman" w:eastAsia="方正仿宋_GBK" w:cs="Times New Roman"/>
          <w:sz w:val="32"/>
          <w:szCs w:val="32"/>
          <w:highlight w:val="none"/>
        </w:rPr>
        <w:t xml:space="preserve">各项业务流程、审核标准等，为相关业务系统的第三方对接开发单位提供技术支持，提供用户培训和系统操作指导等，培训时间和地点由采购人指定。</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三、运维服务项目归档资料清单要求</w:t>
      </w:r>
      <w:r/>
    </w:p>
    <w:p>
      <w:pPr>
        <w:ind w:firstLine="640"/>
        <w:spacing w:line="560" w:lineRule="exact"/>
        <w:rPr>
          <w:rFonts w:asciiTheme="minorHAnsi" w:hAnsiTheme="minorHAnsi" w:eastAsiaTheme="minorEastAsia" w:cstheme="minorBidi"/>
          <w:highlight w:val="none"/>
        </w:rPr>
      </w:pPr>
      <w:r>
        <w:rPr>
          <w:rFonts w:hint="eastAsia" w:ascii="Times New Roman" w:hAnsi="Times New Roman" w:eastAsia="方正仿宋_GBK" w:cs="Times New Roman"/>
          <w:sz w:val="32"/>
          <w:szCs w:val="32"/>
          <w:highlight w:val="none"/>
        </w:rPr>
        <w:t xml:space="preserve">每月5日前将上月运维服务产生的所有文档资料提交采购人或采购人指定的总集服务团队归档。资料清单如下：</w:t>
      </w:r>
      <w:r/>
    </w:p>
    <w:tbl>
      <w:tblPr>
        <w:tblStyle w:val="917"/>
        <w:tblW w:w="51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12"/>
        <w:gridCol w:w="2414"/>
        <w:gridCol w:w="4991"/>
        <w:gridCol w:w="1785"/>
      </w:tblGrid>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4" w:type="dxa"/>
            <w:vAlign w:val="center"/>
            <w:textDirection w:val="lrTb"/>
            <w:noWrap w:val="false"/>
          </w:tcPr>
          <w:p>
            <w:pPr>
              <w:jc w:val="center"/>
              <w:spacing w:line="180" w:lineRule="atLeast"/>
              <w:rPr>
                <w:rFonts w:ascii="Times New Roman" w:hAnsi="Times New Roman" w:eastAsia="方正黑体_GBK" w:cs="Times New Roman"/>
                <w:sz w:val="24"/>
                <w:szCs w:val="28"/>
                <w:highlight w:val="none"/>
              </w:rPr>
            </w:pPr>
            <w:r>
              <w:rPr>
                <w:rFonts w:hint="eastAsia" w:ascii="Times New Roman" w:hAnsi="Times New Roman" w:eastAsia="方正黑体_GBK" w:cs="Times New Roman"/>
                <w:sz w:val="24"/>
                <w:szCs w:val="28"/>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092" w:type="dxa"/>
            <w:vAlign w:val="center"/>
            <w:textDirection w:val="lrTb"/>
            <w:noWrap w:val="false"/>
          </w:tcPr>
          <w:p>
            <w:pPr>
              <w:jc w:val="center"/>
              <w:spacing w:line="180" w:lineRule="atLeast"/>
              <w:rPr>
                <w:rFonts w:ascii="Times New Roman" w:hAnsi="Times New Roman" w:eastAsia="方正黑体_GBK" w:cs="Times New Roman"/>
                <w:sz w:val="24"/>
                <w:szCs w:val="28"/>
                <w:highlight w:val="none"/>
              </w:rPr>
            </w:pPr>
            <w:r>
              <w:rPr>
                <w:rFonts w:hint="eastAsia" w:ascii="Times New Roman" w:hAnsi="Times New Roman" w:eastAsia="方正黑体_GBK" w:cs="Times New Roman"/>
                <w:sz w:val="24"/>
                <w:szCs w:val="28"/>
                <w:highlight w:val="none"/>
              </w:rPr>
              <w:t xml:space="preserve">运维服务内容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25" w:type="dxa"/>
            <w:vAlign w:val="center"/>
            <w:textDirection w:val="lrTb"/>
            <w:noWrap w:val="false"/>
          </w:tcPr>
          <w:p>
            <w:pPr>
              <w:jc w:val="center"/>
              <w:spacing w:line="180" w:lineRule="atLeast"/>
              <w:rPr>
                <w:rFonts w:ascii="Times New Roman" w:hAnsi="Times New Roman" w:eastAsia="方正黑体_GBK" w:cs="Times New Roman"/>
                <w:sz w:val="24"/>
                <w:szCs w:val="28"/>
                <w:highlight w:val="none"/>
              </w:rPr>
            </w:pPr>
            <w:r>
              <w:rPr>
                <w:rFonts w:hint="eastAsia" w:ascii="Times New Roman" w:hAnsi="Times New Roman" w:eastAsia="方正黑体_GBK" w:cs="Times New Roman"/>
                <w:sz w:val="24"/>
                <w:szCs w:val="28"/>
                <w:highlight w:val="none"/>
              </w:rPr>
              <w:t xml:space="preserve">提交物</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47" w:type="dxa"/>
            <w:vAlign w:val="center"/>
            <w:textDirection w:val="lrTb"/>
            <w:noWrap w:val="false"/>
          </w:tcPr>
          <w:p>
            <w:pPr>
              <w:jc w:val="center"/>
              <w:spacing w:line="180" w:lineRule="atLeast"/>
              <w:rPr>
                <w:rFonts w:ascii="Times New Roman" w:hAnsi="Times New Roman" w:eastAsia="方正黑体_GBK" w:cs="Times New Roman"/>
                <w:sz w:val="24"/>
                <w:szCs w:val="28"/>
                <w:highlight w:val="none"/>
              </w:rPr>
            </w:pPr>
            <w:r>
              <w:rPr>
                <w:rFonts w:hint="eastAsia" w:ascii="Times New Roman" w:hAnsi="Times New Roman" w:eastAsia="方正黑体_GBK" w:cs="Times New Roman"/>
                <w:sz w:val="24"/>
                <w:szCs w:val="28"/>
                <w:highlight w:val="none"/>
              </w:rPr>
              <w:t xml:space="preserve">提交周期</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4"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092"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问题和需求处理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25"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通过全省需求管理平台流转</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47"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按需</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4"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092"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需求变更响应</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25"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通过全省需求管理平台流转</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47"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按需</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4"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092"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服务支撑保障</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25"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《架构运行分析报告》、《安全防护体系优化方案》、《性能调优实施记录》、《安全评估报告》、《漏洞扫描清单》、《风险隐患排查台账》</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47"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季度</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4"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092"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UI 设计支撑</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25"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《江苏医保云UI界面设计稿（源文件 + 效果图）》《业务推广宣传页设计稿》《UI 优化用户体验反馈报告》</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47"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按需</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4"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092"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测试和生产环境管理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25"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《测试/生产环境清单》、《测试软件/产品发布手册》、《测试/生产环境备份和恢复方法手册》、《用户权限管理文档》、《环境变更记录》等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47"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按需</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4"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092"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版本升级管理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25"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通过全省需求管理平台流转</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47"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按需</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4"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7</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092"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应用安全管理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25"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《应用安全评估报告》等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47"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每季度</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4"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092"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外部接口对接管理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25"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《外部接口联调测试报告》、《外部接口清单》等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47"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每月</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4"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9</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092" w:type="dxa"/>
            <w:vAlign w:val="center"/>
            <w:vMerge w:val="restart"/>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运维管理日常工作</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25"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《运维管理日报》等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47"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每日</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4"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10</w:t>
            </w:r>
            <w:r/>
          </w:p>
        </w:tc>
        <w:tc>
          <w:tcPr>
            <w:tcBorders>
              <w:top w:val="single" w:color="000000" w:sz="8" w:space="0"/>
              <w:left w:val="single" w:color="000000" w:sz="8" w:space="0"/>
              <w:bottom w:val="single" w:color="000000" w:sz="8" w:space="0"/>
              <w:right w:val="single" w:color="000000" w:sz="8" w:space="0"/>
            </w:tcBorders>
            <w:tcW w:w="2092" w:type="dxa"/>
            <w:vAlign w:val="center"/>
            <w:vMerge w:val="continue"/>
            <w:textDirection w:val="lrTb"/>
            <w:noWrap w:val="false"/>
          </w:tcPr>
          <w:p>
            <w:pPr>
              <w:jc w:val="left"/>
              <w:rPr>
                <w:rFonts w:ascii="Times New Roman" w:hAnsi="Times New Roman" w:eastAsia="方正仿宋_GBK" w:cs="Times New Roman"/>
                <w:sz w:val="24"/>
                <w:szCs w:val="28"/>
                <w:highlight w:val="none"/>
                <w:lang w:bidi="ar"/>
              </w:rPr>
            </w:pPr>
            <w:r>
              <w:rPr>
                <w:rFonts w:ascii="Times New Roman" w:hAnsi="Times New Roman" w:eastAsia="方正仿宋_GBK" w:cs="Times New Roman"/>
                <w:sz w:val="24"/>
                <w:szCs w:val="28"/>
                <w:highlight w:val="none"/>
                <w:lang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25"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《运维管理周报》等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47"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每周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4"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11</w:t>
            </w:r>
            <w:r/>
          </w:p>
        </w:tc>
        <w:tc>
          <w:tcPr>
            <w:tcBorders>
              <w:top w:val="single" w:color="000000" w:sz="8" w:space="0"/>
              <w:left w:val="single" w:color="000000" w:sz="8" w:space="0"/>
              <w:bottom w:val="single" w:color="000000" w:sz="8" w:space="0"/>
              <w:right w:val="single" w:color="000000" w:sz="8" w:space="0"/>
            </w:tcBorders>
            <w:tcW w:w="2092" w:type="dxa"/>
            <w:vAlign w:val="center"/>
            <w:vMerge w:val="continue"/>
            <w:textDirection w:val="lrTb"/>
            <w:noWrap w:val="false"/>
          </w:tcPr>
          <w:p>
            <w:pPr>
              <w:jc w:val="left"/>
              <w:rPr>
                <w:rFonts w:ascii="Times New Roman" w:hAnsi="Times New Roman" w:eastAsia="方正仿宋_GBK" w:cs="Times New Roman"/>
                <w:sz w:val="24"/>
                <w:szCs w:val="28"/>
                <w:highlight w:val="none"/>
                <w:lang w:bidi="ar"/>
              </w:rPr>
            </w:pPr>
            <w:r>
              <w:rPr>
                <w:rFonts w:ascii="Times New Roman" w:hAnsi="Times New Roman" w:eastAsia="方正仿宋_GBK" w:cs="Times New Roman"/>
                <w:sz w:val="24"/>
                <w:szCs w:val="28"/>
                <w:highlight w:val="none"/>
                <w:lang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25"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《运维管理总结月报》、《运维服务自评报告》等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47"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每月</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4"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12</w:t>
            </w:r>
            <w:r/>
          </w:p>
        </w:tc>
        <w:tc>
          <w:tcPr>
            <w:tcBorders>
              <w:top w:val="single" w:color="000000" w:sz="8" w:space="0"/>
              <w:left w:val="single" w:color="000000" w:sz="8" w:space="0"/>
              <w:bottom w:val="single" w:color="000000" w:sz="8" w:space="0"/>
              <w:right w:val="single" w:color="000000" w:sz="8" w:space="0"/>
            </w:tcBorders>
            <w:tcW w:w="2092" w:type="dxa"/>
            <w:vAlign w:val="center"/>
            <w:vMerge w:val="continue"/>
            <w:textDirection w:val="lrTb"/>
            <w:noWrap w:val="false"/>
          </w:tcPr>
          <w:p>
            <w:pPr>
              <w:jc w:val="left"/>
              <w:rPr>
                <w:rFonts w:ascii="Times New Roman" w:hAnsi="Times New Roman" w:eastAsia="方正仿宋_GBK" w:cs="Times New Roman"/>
                <w:sz w:val="24"/>
                <w:szCs w:val="28"/>
                <w:highlight w:val="none"/>
                <w:lang w:bidi="ar"/>
              </w:rPr>
            </w:pPr>
            <w:r>
              <w:rPr>
                <w:rFonts w:ascii="Times New Roman" w:hAnsi="Times New Roman" w:eastAsia="方正仿宋_GBK" w:cs="Times New Roman"/>
                <w:sz w:val="24"/>
                <w:szCs w:val="28"/>
                <w:highlight w:val="none"/>
                <w:lang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25"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《运维管理总结季报》、《专项检查分析报告》等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47"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每季度</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04"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13</w:t>
            </w:r>
            <w:r/>
          </w:p>
        </w:tc>
        <w:tc>
          <w:tcPr>
            <w:tcBorders>
              <w:top w:val="single" w:color="000000" w:sz="8" w:space="0"/>
              <w:left w:val="single" w:color="000000" w:sz="8" w:space="0"/>
              <w:bottom w:val="single" w:color="000000" w:sz="8" w:space="0"/>
              <w:right w:val="single" w:color="000000" w:sz="8" w:space="0"/>
            </w:tcBorders>
            <w:tcW w:w="2092" w:type="dxa"/>
            <w:vAlign w:val="center"/>
            <w:vMerge w:val="continue"/>
            <w:textDirection w:val="lrTb"/>
            <w:noWrap w:val="false"/>
          </w:tcPr>
          <w:p>
            <w:pPr>
              <w:jc w:val="left"/>
              <w:rPr>
                <w:rFonts w:ascii="Times New Roman" w:hAnsi="Times New Roman" w:eastAsia="方正仿宋_GBK" w:cs="Times New Roman"/>
                <w:sz w:val="24"/>
                <w:szCs w:val="28"/>
                <w:highlight w:val="none"/>
                <w:lang w:bidi="ar"/>
              </w:rPr>
            </w:pPr>
            <w:r>
              <w:rPr>
                <w:rFonts w:ascii="Times New Roman" w:hAnsi="Times New Roman" w:eastAsia="方正仿宋_GBK" w:cs="Times New Roman"/>
                <w:sz w:val="24"/>
                <w:szCs w:val="28"/>
                <w:highlight w:val="none"/>
                <w:lang w:bidi="ar"/>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25" w:type="dxa"/>
            <w:vAlign w:val="center"/>
            <w:textDirection w:val="lrTb"/>
            <w:noWrap w:val="false"/>
          </w:tcPr>
          <w:p>
            <w:pPr>
              <w:jc w:val="left"/>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《运维管理工作会议纪要》、《专题分析报告》等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547" w:type="dxa"/>
            <w:vAlign w:val="center"/>
            <w:textDirection w:val="lrTb"/>
            <w:noWrap w:val="false"/>
          </w:tcPr>
          <w:p>
            <w:pPr>
              <w:jc w:val="center"/>
              <w:rPr>
                <w:rFonts w:ascii="Times New Roman" w:hAnsi="Times New Roman" w:eastAsia="方正仿宋_GBK" w:cs="Times New Roman"/>
                <w:sz w:val="24"/>
                <w:szCs w:val="28"/>
                <w:highlight w:val="none"/>
                <w:lang w:bidi="ar"/>
              </w:rPr>
            </w:pPr>
            <w:r>
              <w:rPr>
                <w:rFonts w:hint="eastAsia" w:ascii="Times New Roman" w:hAnsi="Times New Roman" w:eastAsia="方正仿宋_GBK" w:cs="Times New Roman"/>
                <w:sz w:val="24"/>
                <w:szCs w:val="28"/>
                <w:highlight w:val="none"/>
                <w:lang w:bidi="ar"/>
              </w:rPr>
              <w:t xml:space="preserve">按需</w:t>
            </w:r>
            <w:r/>
          </w:p>
        </w:tc>
      </w:tr>
    </w:tbl>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四、运维服务期限</w:t>
      </w:r>
      <w:r/>
    </w:p>
    <w:p>
      <w:pPr>
        <w:ind w:firstLine="640"/>
        <w:spacing w:line="560" w:lineRule="exact"/>
        <w:rPr>
          <w:rFonts w:asciiTheme="minorHAnsi" w:hAnsiTheme="minorHAnsi" w:eastAsiaTheme="minorEastAsia" w:cstheme="minorBidi"/>
          <w:bCs/>
          <w:szCs w:val="32"/>
          <w:highlight w:val="none"/>
        </w:rPr>
      </w:pPr>
      <w:r>
        <w:rPr>
          <w:rFonts w:hint="eastAsia" w:ascii="Times New Roman" w:hAnsi="Times New Roman" w:eastAsia="方正仿宋_GBK" w:cs="Times New Roman"/>
          <w:sz w:val="32"/>
          <w:szCs w:val="32"/>
          <w:highlight w:val="none"/>
        </w:rPr>
        <w:t xml:space="preserve">本项目运维服务期限为</w:t>
      </w:r>
      <w:r>
        <w:rPr>
          <w:rFonts w:hint="eastAsia" w:ascii="Times New Roman" w:hAnsi="Times New Roman" w:eastAsia="方正仿宋_GBK" w:cs="Times New Roman"/>
          <w:sz w:val="32"/>
          <w:szCs w:val="32"/>
          <w:highlight w:val="none"/>
        </w:rPr>
        <w:t xml:space="preserve">自合同签订之日起2年。</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五、运维人员要求</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本项目采用外包模式，将运维服务外包给资质齐全、信誉优良的专业厂商，构建并形成综合一体的运行维护管理机制与模式。</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（一）运维人数要求</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本项目要求组建一支固定维护工程师的运维团队，其中前14个月13人，后10个月17人（</w:t>
      </w:r>
      <w:r>
        <w:rPr>
          <w:rFonts w:ascii="Times New Roman" w:hAnsi="Times New Roman" w:eastAsia="方正仿宋_GBK" w:cs="Times New Roman"/>
          <w:sz w:val="32"/>
          <w:szCs w:val="32"/>
          <w:highlight w:val="none"/>
        </w:rPr>
        <w:t xml:space="preserve">具体人员</w:t>
      </w:r>
      <w:r>
        <w:rPr>
          <w:rFonts w:hint="eastAsia" w:ascii="Times New Roman" w:hAnsi="Times New Roman" w:eastAsia="方正仿宋_GBK" w:cs="Times New Roman"/>
          <w:sz w:val="32"/>
          <w:szCs w:val="32"/>
          <w:highlight w:val="none"/>
        </w:rPr>
        <w:t xml:space="preserve">配置</w:t>
      </w:r>
      <w:r>
        <w:rPr>
          <w:rFonts w:ascii="Times New Roman" w:hAnsi="Times New Roman" w:eastAsia="方正仿宋_GBK" w:cs="Times New Roman"/>
          <w:sz w:val="32"/>
          <w:szCs w:val="32"/>
          <w:highlight w:val="none"/>
        </w:rPr>
        <w:t xml:space="preserve">情况详见</w:t>
      </w:r>
      <w:r>
        <w:rPr>
          <w:rFonts w:hint="eastAsia" w:ascii="Times New Roman" w:hAnsi="Times New Roman" w:eastAsia="方正仿宋_GBK" w:cs="Times New Roman"/>
          <w:sz w:val="32"/>
          <w:szCs w:val="32"/>
          <w:highlight w:val="none"/>
        </w:rPr>
        <w:t xml:space="preserve">“</w:t>
      </w:r>
      <w:r>
        <w:rPr>
          <w:rFonts w:ascii="Times New Roman" w:hAnsi="Times New Roman" w:eastAsia="方正仿宋_GBK" w:cs="Times New Roman"/>
          <w:sz w:val="32"/>
          <w:szCs w:val="32"/>
          <w:highlight w:val="none"/>
        </w:rPr>
        <w:t xml:space="preserve">运维岗位要求</w:t>
      </w:r>
      <w:r>
        <w:rPr>
          <w:rFonts w:hint="eastAsia" w:ascii="Times New Roman" w:hAnsi="Times New Roman" w:eastAsia="方正仿宋_GBK" w:cs="Times New Roman"/>
          <w:sz w:val="32"/>
          <w:szCs w:val="32"/>
          <w:highlight w:val="none"/>
        </w:rPr>
        <w:t xml:space="preserve">”）。所有人员需</w:t>
      </w:r>
      <w:r>
        <w:rPr>
          <w:rFonts w:ascii="Times New Roman" w:hAnsi="Times New Roman" w:eastAsia="方正仿宋_GBK" w:cs="Times New Roman"/>
          <w:sz w:val="32"/>
          <w:szCs w:val="32"/>
          <w:highlight w:val="none"/>
        </w:rPr>
        <w:t xml:space="preserve">集中驻场运维</w:t>
      </w:r>
      <w:r>
        <w:rPr>
          <w:rFonts w:hint="eastAsia" w:ascii="Times New Roman" w:hAnsi="Times New Roman" w:eastAsia="方正仿宋_GBK" w:cs="Times New Roman"/>
          <w:sz w:val="32"/>
          <w:szCs w:val="32"/>
          <w:highlight w:val="none"/>
        </w:rPr>
        <w:t xml:space="preserve">，集中驻场地点按照采购人要求。</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运维服务期间人员名单原则上不得调整，如确需调整，需提前一个月向采购人报告人员变更情况，且调入人员的资历和从业经验不低于调出人员，在确认不影响运维服务并经采购人许可后方可调换，并保证一段时间的并行转换期，否则可视为供应商违约，采购人可在项目验收综合考评时扣分，并减值支付合同款项。</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（二）运维岗位要求</w:t>
      </w:r>
      <w:r/>
    </w:p>
    <w:tbl>
      <w:tblPr>
        <w:tblStyle w:val="917"/>
        <w:tblW w:w="9009" w:type="dxa"/>
        <w:jc w:val="center"/>
        <w:tblLayout w:type="autofit"/>
        <w:tblCellMar>
          <w:left w:w="108" w:type="dxa"/>
          <w:top w:w="0" w:type="dxa"/>
          <w:right w:w="108" w:type="dxa"/>
          <w:bottom w:w="0" w:type="dxa"/>
        </w:tblCellMar>
        <w:tblLook w:val="04A0" w:firstRow="1" w:lastRow="0" w:firstColumn="1" w:lastColumn="0" w:noHBand="0" w:noVBand="1"/>
      </w:tblPr>
      <w:tblGrid>
        <w:gridCol w:w="413"/>
        <w:gridCol w:w="624"/>
        <w:gridCol w:w="743"/>
        <w:gridCol w:w="3675"/>
        <w:gridCol w:w="861"/>
        <w:gridCol w:w="2693"/>
      </w:tblGrid>
      <w:tr>
        <w:trPr>
          <w:jc w:val="center"/>
          <w:trHeight w:val="694"/>
        </w:trPr>
        <w:tc>
          <w:tcPr>
            <w:tcBorders>
              <w:top w:val="single" w:color="auto" w:sz="4" w:space="0"/>
              <w:left w:val="single" w:color="auto" w:sz="4" w:space="0"/>
              <w:bottom w:val="single" w:color="auto" w:sz="4" w:space="0"/>
              <w:right w:val="single" w:color="auto" w:sz="4" w:space="0"/>
            </w:tcBorders>
            <w:tcMar>
              <w:left w:w="28" w:type="dxa"/>
              <w:right w:w="28" w:type="dxa"/>
            </w:tcMar>
            <w:tcW w:w="413" w:type="dxa"/>
            <w:vAlign w:val="center"/>
            <w:textDirection w:val="lrTb"/>
            <w:noWrap w:val="false"/>
          </w:tcPr>
          <w:p>
            <w:pPr>
              <w:jc w:val="center"/>
              <w:widowControl/>
              <w:rPr>
                <w:rFonts w:hint="eastAsia" w:ascii="方正黑体_GBK" w:hAnsi="宋体" w:eastAsia="方正黑体_GBK" w:cs="宋体"/>
                <w:color w:val="000000"/>
                <w:szCs w:val="21"/>
                <w:highlight w:val="none"/>
              </w:rPr>
            </w:pPr>
            <w:r>
              <w:rPr>
                <w:rFonts w:hint="eastAsia" w:ascii="方正黑体_GBK" w:hAnsi="宋体" w:eastAsia="方正黑体_GBK" w:cs="宋体"/>
                <w:color w:val="000000"/>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Mar>
              <w:left w:w="28" w:type="dxa"/>
              <w:right w:w="28" w:type="dxa"/>
            </w:tcMar>
            <w:tcW w:w="1367" w:type="dxa"/>
            <w:vAlign w:val="center"/>
            <w:textDirection w:val="lrTb"/>
            <w:noWrap w:val="false"/>
          </w:tcPr>
          <w:p>
            <w:pPr>
              <w:jc w:val="center"/>
              <w:widowControl/>
              <w:rPr>
                <w:rFonts w:hint="eastAsia" w:ascii="方正黑体_GBK" w:hAnsi="宋体" w:eastAsia="方正黑体_GBK" w:cs="宋体"/>
                <w:color w:val="000000"/>
                <w:szCs w:val="21"/>
                <w:highlight w:val="none"/>
              </w:rPr>
            </w:pPr>
            <w:r>
              <w:rPr>
                <w:rFonts w:hint="eastAsia" w:ascii="方正黑体_GBK" w:hAnsi="宋体" w:eastAsia="方正黑体_GBK" w:cs="宋体"/>
                <w:color w:val="000000"/>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Mar>
              <w:left w:w="28" w:type="dxa"/>
              <w:right w:w="28" w:type="dxa"/>
            </w:tcMar>
            <w:tcW w:w="3675" w:type="dxa"/>
            <w:vAlign w:val="center"/>
            <w:textDirection w:val="lrTb"/>
            <w:noWrap w:val="false"/>
          </w:tcPr>
          <w:p>
            <w:pPr>
              <w:jc w:val="center"/>
              <w:widowControl/>
              <w:rPr>
                <w:rFonts w:hint="eastAsia" w:ascii="方正黑体_GBK" w:hAnsi="宋体" w:eastAsia="方正黑体_GBK" w:cs="宋体"/>
                <w:color w:val="000000"/>
                <w:szCs w:val="21"/>
                <w:highlight w:val="none"/>
              </w:rPr>
            </w:pPr>
            <w:r>
              <w:rPr>
                <w:rFonts w:hint="eastAsia" w:ascii="方正黑体_GBK" w:hAnsi="宋体" w:eastAsia="方正黑体_GBK" w:cs="宋体"/>
                <w:color w:val="000000"/>
                <w:szCs w:val="21"/>
                <w:highlight w:val="none"/>
              </w:rPr>
              <w:t xml:space="preserve">主要任务</w:t>
            </w:r>
            <w:r/>
          </w:p>
        </w:tc>
        <w:tc>
          <w:tcPr>
            <w:tcBorders>
              <w:top w:val="single" w:color="auto" w:sz="4" w:space="0"/>
              <w:left w:val="single" w:color="auto" w:sz="4" w:space="0"/>
              <w:bottom w:val="single" w:color="auto" w:sz="4" w:space="0"/>
              <w:right w:val="single" w:color="auto" w:sz="4" w:space="0"/>
            </w:tcBorders>
            <w:tcMar>
              <w:left w:w="28" w:type="dxa"/>
              <w:right w:w="28" w:type="dxa"/>
            </w:tcMar>
            <w:tcW w:w="861" w:type="dxa"/>
            <w:vAlign w:val="center"/>
            <w:textDirection w:val="lrTb"/>
            <w:noWrap w:val="false"/>
          </w:tcPr>
          <w:p>
            <w:pPr>
              <w:jc w:val="center"/>
              <w:widowControl/>
              <w:rPr>
                <w:rFonts w:hint="eastAsia" w:ascii="方正黑体_GBK" w:hAnsi="等线" w:eastAsia="方正黑体_GBK" w:cs="宋体"/>
                <w:bCs/>
                <w:color w:val="000000"/>
                <w:szCs w:val="21"/>
                <w:highlight w:val="none"/>
              </w:rPr>
            </w:pPr>
            <w:r>
              <w:rPr>
                <w:rFonts w:hint="eastAsia" w:ascii="方正黑体_GBK" w:hAnsi="等线" w:eastAsia="方正黑体_GBK" w:cs="宋体"/>
                <w:bCs/>
                <w:color w:val="000000"/>
                <w:szCs w:val="21"/>
                <w:highlight w:val="none"/>
              </w:rPr>
              <w:t xml:space="preserve">配置</w:t>
            </w:r>
            <w:r/>
          </w:p>
          <w:p>
            <w:pPr>
              <w:jc w:val="center"/>
              <w:widowControl/>
              <w:rPr>
                <w:rFonts w:hint="eastAsia" w:ascii="方正黑体_GBK" w:hAnsi="宋体" w:eastAsia="方正黑体_GBK" w:cs="宋体"/>
                <w:color w:val="000000"/>
                <w:szCs w:val="21"/>
                <w:highlight w:val="none"/>
              </w:rPr>
            </w:pPr>
            <w:r>
              <w:rPr>
                <w:rFonts w:hint="eastAsia" w:ascii="方正黑体_GBK" w:hAnsi="等线" w:eastAsia="方正黑体_GBK" w:cs="宋体"/>
                <w:bCs/>
                <w:color w:val="000000"/>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Mar>
              <w:left w:w="28" w:type="dxa"/>
              <w:right w:w="28" w:type="dxa"/>
            </w:tcMar>
            <w:tcW w:w="2693" w:type="dxa"/>
            <w:vAlign w:val="center"/>
            <w:textDirection w:val="lrTb"/>
            <w:noWrap w:val="false"/>
          </w:tcPr>
          <w:p>
            <w:pPr>
              <w:jc w:val="center"/>
              <w:widowControl/>
              <w:rPr>
                <w:rFonts w:hint="eastAsia" w:ascii="方正黑体_GBK" w:hAnsi="宋体" w:eastAsia="方正黑体_GBK" w:cs="宋体"/>
                <w:color w:val="000000"/>
                <w:szCs w:val="21"/>
                <w:highlight w:val="none"/>
              </w:rPr>
            </w:pPr>
            <w:r>
              <w:rPr>
                <w:rFonts w:hint="eastAsia" w:ascii="方正黑体_GBK" w:hAnsi="等线" w:eastAsia="方正黑体_GBK" w:cs="宋体"/>
                <w:bCs/>
                <w:color w:val="000000"/>
                <w:szCs w:val="21"/>
                <w:highlight w:val="none"/>
              </w:rPr>
              <w:t xml:space="preserve">资质要求</w:t>
            </w:r>
            <w:r/>
          </w:p>
        </w:tc>
      </w:tr>
      <w:tr>
        <w:trPr>
          <w:jc w:val="center"/>
          <w:trHeight w:val="694"/>
        </w:trPr>
        <w:tc>
          <w:tcPr>
            <w:tcBorders>
              <w:top w:val="single" w:color="auto" w:sz="4" w:space="0"/>
              <w:left w:val="single" w:color="auto" w:sz="4" w:space="0"/>
              <w:bottom w:val="single" w:color="auto" w:sz="4" w:space="0"/>
              <w:right w:val="single" w:color="auto" w:sz="4" w:space="0"/>
            </w:tcBorders>
            <w:tcMar>
              <w:left w:w="28" w:type="dxa"/>
              <w:right w:w="28" w:type="dxa"/>
            </w:tcMar>
            <w:tcW w:w="413" w:type="dxa"/>
            <w:vAlign w:val="center"/>
            <w:textDirection w:val="lrTb"/>
            <w:noWrap w:val="false"/>
          </w:tcPr>
          <w:p>
            <w:pPr>
              <w:jc w:val="center"/>
              <w:widowControl/>
              <w:rPr>
                <w:rFonts w:hint="eastAsia" w:ascii="方正黑体_GBK" w:hAnsi="宋体" w:eastAsia="方正黑体_GBK" w:cs="宋体"/>
                <w:color w:val="000000"/>
                <w:szCs w:val="21"/>
                <w:highlight w:val="none"/>
              </w:rPr>
            </w:pPr>
            <w:r>
              <w:rPr>
                <w:rFonts w:hint="eastAsia" w:ascii="方正黑体_GBK" w:hAnsi="宋体" w:eastAsia="方正黑体_GBK" w:cs="宋体"/>
                <w:color w:val="000000"/>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Mar>
              <w:left w:w="28" w:type="dxa"/>
              <w:right w:w="28" w:type="dxa"/>
            </w:tcMar>
            <w:tcW w:w="1367" w:type="dxa"/>
            <w:vAlign w:val="center"/>
            <w:textDirection w:val="lrTb"/>
            <w:noWrap w:val="false"/>
          </w:tcPr>
          <w:p>
            <w:pPr>
              <w:jc w:val="center"/>
              <w:widowControl/>
              <w:rPr>
                <w:rFonts w:hint="eastAsia" w:ascii="方正黑体_GBK" w:hAnsi="宋体" w:eastAsia="方正黑体_GBK" w:cs="宋体"/>
                <w:color w:val="000000"/>
                <w:szCs w:val="21"/>
                <w:highlight w:val="none"/>
              </w:rPr>
            </w:pPr>
            <w:r>
              <w:rPr>
                <w:rFonts w:hint="eastAsia" w:ascii="方正仿宋_GBK" w:hAnsi="宋体" w:eastAsia="方正仿宋_GBK" w:cs="宋体"/>
                <w:color w:val="000000"/>
                <w:szCs w:val="21"/>
                <w:highlight w:val="none"/>
              </w:rPr>
              <w:t xml:space="preserve">项目管理</w:t>
            </w:r>
            <w:r/>
          </w:p>
        </w:tc>
        <w:tc>
          <w:tcPr>
            <w:tcBorders>
              <w:top w:val="single" w:color="auto" w:sz="4" w:space="0"/>
              <w:left w:val="single" w:color="auto" w:sz="4" w:space="0"/>
              <w:bottom w:val="single" w:color="auto" w:sz="4" w:space="0"/>
              <w:right w:val="single" w:color="auto" w:sz="4" w:space="0"/>
            </w:tcBorders>
            <w:tcMar>
              <w:left w:w="28" w:type="dxa"/>
              <w:right w:w="28" w:type="dxa"/>
            </w:tcMar>
            <w:tcW w:w="3675" w:type="dxa"/>
            <w:vAlign w:val="center"/>
            <w:textDirection w:val="lrTb"/>
            <w:noWrap w:val="false"/>
          </w:tcPr>
          <w:p>
            <w:pPr>
              <w:widowControl/>
              <w:rPr>
                <w:rFonts w:hint="eastAsia" w:ascii="方正黑体_GBK" w:hAnsi="宋体" w:eastAsia="方正黑体_GBK" w:cs="宋体"/>
                <w:color w:val="000000"/>
                <w:szCs w:val="21"/>
                <w:highlight w:val="none"/>
              </w:rPr>
            </w:pPr>
            <w:r>
              <w:rPr>
                <w:rFonts w:hint="eastAsia" w:ascii="方正仿宋_GBK" w:hAnsi="宋体" w:eastAsia="方正仿宋_GBK" w:cs="宋体"/>
                <w:color w:val="000000"/>
                <w:szCs w:val="21"/>
                <w:highlight w:val="none"/>
              </w:rPr>
              <w:t xml:space="preserve">负责项目全流程咨询和管理，领导项目团队按时优质完成全部工作任务，确保运维目标实现。</w:t>
            </w:r>
            <w:r/>
          </w:p>
        </w:tc>
        <w:tc>
          <w:tcPr>
            <w:tcBorders>
              <w:top w:val="single" w:color="auto" w:sz="4" w:space="0"/>
              <w:left w:val="single" w:color="auto" w:sz="4" w:space="0"/>
              <w:bottom w:val="single" w:color="auto" w:sz="4" w:space="0"/>
              <w:right w:val="single" w:color="auto" w:sz="4" w:space="0"/>
            </w:tcBorders>
            <w:tcMar>
              <w:left w:w="28" w:type="dxa"/>
              <w:right w:w="28" w:type="dxa"/>
            </w:tcMar>
            <w:tcW w:w="861" w:type="dxa"/>
            <w:vAlign w:val="center"/>
            <w:textDirection w:val="lrTb"/>
            <w:noWrap w:val="false"/>
          </w:tcPr>
          <w:p>
            <w:pPr>
              <w:jc w:val="center"/>
              <w:widowControl/>
              <w:rPr>
                <w:rFonts w:hint="eastAsia" w:ascii="方正仿宋_GBK" w:hAnsi="等线" w:eastAsia="方正仿宋_GBK" w:cs="宋体"/>
                <w:color w:val="000000"/>
                <w:sz w:val="24"/>
                <w:szCs w:val="24"/>
                <w:highlight w:val="none"/>
              </w:rPr>
            </w:pPr>
            <w:r>
              <w:rPr>
                <w:rFonts w:hint="eastAsia" w:ascii="方正仿宋_GBK" w:hAnsi="等线" w:eastAsia="方正仿宋_GBK" w:cs="宋体"/>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28" w:type="dxa"/>
              <w:right w:w="28" w:type="dxa"/>
            </w:tcMar>
            <w:tcW w:w="2693" w:type="dxa"/>
            <w:vAlign w:val="center"/>
            <w:textDirection w:val="lrTb"/>
            <w:noWrap w:val="false"/>
          </w:tcPr>
          <w:p>
            <w:pPr>
              <w:widowControl/>
              <w:rPr>
                <w:rFonts w:hint="eastAsia" w:ascii="方正仿宋_GBK" w:hAnsi="等线" w:eastAsia="方正仿宋_GBK" w:cs="宋体"/>
                <w:b/>
                <w:bCs/>
                <w:color w:val="000000"/>
                <w:sz w:val="24"/>
                <w:szCs w:val="24"/>
                <w:highlight w:val="none"/>
              </w:rPr>
            </w:pPr>
            <w:r>
              <w:rPr>
                <w:rFonts w:hint="eastAsia" w:ascii="方正仿宋_GBK" w:hAnsi="等线" w:eastAsia="方正仿宋_GBK" w:cs="宋体"/>
                <w:highlight w:val="none"/>
              </w:rPr>
              <w:t xml:space="preserve">需持有“软件性能测试高级工程师”证书、“信息系统项目管理师”证书，具备不少于3年类似信息化项目管理经历</w:t>
            </w:r>
            <w:r/>
          </w:p>
        </w:tc>
      </w:tr>
      <w:tr>
        <w:trPr>
          <w:jc w:val="center"/>
          <w:trHeight w:val="2104"/>
        </w:trPr>
        <w:tc>
          <w:tcPr>
            <w:tcBorders>
              <w:top w:val="none" w:color="000000" w:sz="4" w:space="0"/>
              <w:left w:val="single" w:color="auto" w:sz="4" w:space="0"/>
              <w:bottom w:val="single" w:color="auto" w:sz="4" w:space="0"/>
              <w:right w:val="single" w:color="auto" w:sz="4" w:space="0"/>
            </w:tcBorders>
            <w:tcMar>
              <w:left w:w="28" w:type="dxa"/>
              <w:right w:w="28" w:type="dxa"/>
            </w:tcMar>
            <w:tcW w:w="413" w:type="dxa"/>
            <w:vAlign w:val="center"/>
            <w:textDirection w:val="lrTb"/>
            <w:noWrap w:val="false"/>
          </w:tcPr>
          <w:p>
            <w:pPr>
              <w:jc w:val="center"/>
              <w:widowControl/>
              <w:rPr>
                <w:rFonts w:hint="eastAsia" w:ascii="方正黑体_GBK" w:hAnsi="宋体" w:eastAsia="方正黑体_GBK" w:cs="宋体"/>
                <w:color w:val="000000"/>
                <w:sz w:val="24"/>
                <w:szCs w:val="24"/>
                <w:highlight w:val="none"/>
              </w:rPr>
            </w:pPr>
            <w:r>
              <w:rPr>
                <w:rFonts w:hint="eastAsia" w:ascii="方正黑体_GBK" w:hAnsi="宋体" w:eastAsia="方正黑体_GBK" w:cs="宋体"/>
                <w:color w:val="000000"/>
                <w:sz w:val="24"/>
                <w:szCs w:val="24"/>
                <w:highlight w:val="none"/>
              </w:rPr>
              <w:t xml:space="preserve">2</w:t>
            </w:r>
            <w:r/>
          </w:p>
        </w:tc>
        <w:tc>
          <w:tcPr>
            <w:tcBorders>
              <w:top w:val="none" w:color="000000" w:sz="4" w:space="0"/>
              <w:left w:val="single" w:color="auto" w:sz="4" w:space="0"/>
              <w:bottom w:val="single" w:color="auto" w:sz="4" w:space="0"/>
              <w:right w:val="single" w:color="auto" w:sz="4" w:space="0"/>
            </w:tcBorders>
            <w:tcMar>
              <w:left w:w="28" w:type="dxa"/>
              <w:right w:w="28" w:type="dxa"/>
            </w:tcMar>
            <w:tcW w:w="624" w:type="dxa"/>
            <w:vAlign w:val="center"/>
            <w:vMerge w:val="restart"/>
            <w:textDirection w:val="lrTb"/>
            <w:noWrap w:val="false"/>
          </w:tcPr>
          <w:p>
            <w:pPr>
              <w:jc w:val="cente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公共服务子系统运维</w:t>
            </w:r>
            <w:r/>
          </w:p>
        </w:tc>
        <w:tc>
          <w:tcPr>
            <w:tcBorders>
              <w:top w:val="none" w:color="000000" w:sz="4" w:space="0"/>
              <w:left w:val="none" w:color="000000" w:sz="4" w:space="0"/>
              <w:bottom w:val="single" w:color="auto" w:sz="4" w:space="0"/>
              <w:right w:val="single" w:color="auto" w:sz="4" w:space="0"/>
            </w:tcBorders>
            <w:tcMar>
              <w:left w:w="28" w:type="dxa"/>
              <w:right w:w="28" w:type="dxa"/>
            </w:tcMar>
            <w:tcW w:w="743" w:type="dxa"/>
            <w:vAlign w:val="center"/>
            <w:textDirection w:val="lrTb"/>
            <w:noWrap w:val="false"/>
          </w:tcPr>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运行</w:t>
            </w:r>
            <w:r/>
          </w:p>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监测</w:t>
            </w:r>
            <w:r/>
          </w:p>
        </w:tc>
        <w:tc>
          <w:tcPr>
            <w:tcBorders>
              <w:top w:val="none" w:color="000000" w:sz="4" w:space="0"/>
              <w:left w:val="none" w:color="000000" w:sz="4" w:space="0"/>
              <w:bottom w:val="single" w:color="auto" w:sz="4" w:space="0"/>
              <w:right w:val="single" w:color="auto" w:sz="4" w:space="0"/>
            </w:tcBorders>
            <w:tcMar>
              <w:left w:w="28" w:type="dxa"/>
              <w:right w:w="28" w:type="dxa"/>
            </w:tcMar>
            <w:tcW w:w="3675" w:type="dxa"/>
            <w:vAlign w:val="center"/>
            <w:textDirection w:val="lrTb"/>
            <w:noWrap w:val="false"/>
          </w:tcPr>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1.开展江苏医保云（APP、微信/支付宝小程序）、网上服务大厅（单位网厅、个人网厅、</w:t>
            </w:r>
            <w:r>
              <w:rPr>
                <w:rFonts w:hint="eastAsia" w:ascii="方正仿宋_GBK" w:hAnsi="宋体" w:eastAsia="方正仿宋_GBK" w:cs="宋体"/>
                <w:color w:val="000000"/>
                <w:szCs w:val="21"/>
                <w:highlight w:val="none"/>
              </w:rPr>
              <w:t xml:space="preserve">学校网厅</w:t>
            </w:r>
            <w:r>
              <w:rPr>
                <w:rFonts w:hint="eastAsia" w:ascii="方正仿宋_GBK" w:hAnsi="宋体" w:eastAsia="方正仿宋_GBK" w:cs="宋体"/>
                <w:color w:val="000000"/>
                <w:szCs w:val="21"/>
                <w:highlight w:val="none"/>
              </w:rPr>
              <w:t xml:space="preserve">）、基层网厅日常巡检，实时监测系统负载、服务链路及运行状态，及时排查潜在隐患，保障业务不间断稳定运转，1人。</w:t>
            </w:r>
            <w:r/>
          </w:p>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2.及时处理各类问题和需求运维工单，协调解决用户诉求，持续优化服务流程及内容，2人。</w:t>
            </w:r>
            <w:r/>
          </w:p>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3.公共服务区业务中台（含移动支付中心、电子凭证中心等）日常运维管理、问题响应、版本升级等，1人。</w:t>
            </w:r>
            <w:r/>
          </w:p>
        </w:tc>
        <w:tc>
          <w:tcPr>
            <w:tcBorders>
              <w:top w:val="single" w:color="auto" w:sz="4" w:space="0"/>
              <w:left w:val="none" w:color="000000" w:sz="4" w:space="0"/>
              <w:bottom w:val="single" w:color="auto" w:sz="4" w:space="0"/>
              <w:right w:val="single" w:color="auto" w:sz="4" w:space="0"/>
            </w:tcBorders>
            <w:tcMar>
              <w:left w:w="28" w:type="dxa"/>
              <w:right w:w="28" w:type="dxa"/>
            </w:tcMar>
            <w:tcW w:w="861" w:type="dxa"/>
            <w:vAlign w:val="center"/>
            <w:textDirection w:val="lrTb"/>
            <w:noWrap w:val="false"/>
          </w:tcPr>
          <w:p>
            <w:pPr>
              <w:jc w:val="cente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2027年9月21日至2028年7月20日，配置4人</w:t>
            </w:r>
            <w:r/>
          </w:p>
        </w:tc>
        <w:tc>
          <w:tcPr>
            <w:tcBorders>
              <w:top w:val="single" w:color="auto" w:sz="4" w:space="0"/>
              <w:left w:val="none" w:color="000000" w:sz="4" w:space="0"/>
              <w:bottom w:val="single" w:color="auto" w:sz="4" w:space="0"/>
              <w:right w:val="single" w:color="auto" w:sz="4" w:space="0"/>
            </w:tcBorders>
            <w:tcMar>
              <w:left w:w="28" w:type="dxa"/>
              <w:right w:w="28" w:type="dxa"/>
            </w:tcMar>
            <w:tcW w:w="2693" w:type="dxa"/>
            <w:vAlign w:val="center"/>
            <w:textDirection w:val="lrTb"/>
            <w:noWrap w:val="false"/>
          </w:tcPr>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其中</w:t>
            </w:r>
            <w:r>
              <w:rPr>
                <w:rFonts w:ascii="方正仿宋_GBK" w:hAnsi="宋体" w:eastAsia="方正仿宋_GBK" w:cs="宋体"/>
                <w:color w:val="000000"/>
                <w:szCs w:val="21"/>
                <w:highlight w:val="none"/>
              </w:rPr>
              <w:t xml:space="preserve">负责人</w:t>
            </w:r>
            <w:r>
              <w:rPr>
                <w:rFonts w:hint="eastAsia" w:ascii="方正仿宋_GBK" w:hAnsi="宋体" w:eastAsia="方正仿宋_GBK" w:cs="宋体"/>
                <w:color w:val="000000"/>
                <w:szCs w:val="21"/>
                <w:highlight w:val="none"/>
              </w:rPr>
              <w:t xml:space="preserve">1名，</w:t>
            </w:r>
            <w:r>
              <w:rPr>
                <w:rFonts w:ascii="方正仿宋_GBK" w:hAnsi="宋体" w:eastAsia="方正仿宋_GBK" w:cs="宋体"/>
                <w:color w:val="000000"/>
                <w:szCs w:val="21"/>
                <w:highlight w:val="none"/>
              </w:rPr>
              <w:t xml:space="preserve">需持有“信息安全工程师”证书、“网络工程师”中级及以上资格证书；其他人员具备不少于1年类似信息化项目运维经历。</w:t>
            </w:r>
            <w:r/>
          </w:p>
        </w:tc>
      </w:tr>
      <w:tr>
        <w:trPr>
          <w:jc w:val="center"/>
          <w:trHeight w:val="761"/>
        </w:trPr>
        <w:tc>
          <w:tcPr>
            <w:tcBorders>
              <w:top w:val="none" w:color="000000" w:sz="4" w:space="0"/>
              <w:left w:val="single" w:color="auto" w:sz="4" w:space="0"/>
              <w:bottom w:val="single" w:color="auto" w:sz="4" w:space="0"/>
              <w:right w:val="single" w:color="auto" w:sz="4" w:space="0"/>
            </w:tcBorders>
            <w:tcMar>
              <w:left w:w="28" w:type="dxa"/>
              <w:right w:w="28" w:type="dxa"/>
            </w:tcMar>
            <w:tcW w:w="413" w:type="dxa"/>
            <w:vAlign w:val="center"/>
            <w:textDirection w:val="lrTb"/>
            <w:noWrap w:val="false"/>
          </w:tcPr>
          <w:p>
            <w:pPr>
              <w:jc w:val="cente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3</w:t>
            </w:r>
            <w:r/>
          </w:p>
        </w:tc>
        <w:tc>
          <w:tcPr>
            <w:tcBorders>
              <w:top w:val="none" w:color="000000" w:sz="4" w:space="0"/>
              <w:left w:val="single" w:color="auto" w:sz="4" w:space="0"/>
              <w:bottom w:val="single" w:color="auto" w:sz="4" w:space="0"/>
              <w:right w:val="single" w:color="auto" w:sz="4" w:space="0"/>
            </w:tcBorders>
            <w:tcMar>
              <w:left w:w="28" w:type="dxa"/>
              <w:right w:w="28" w:type="dxa"/>
            </w:tcMar>
            <w:tcW w:w="624" w:type="dxa"/>
            <w:vAlign w:val="center"/>
            <w:vMerge w:val="continue"/>
            <w:textDirection w:val="lrTb"/>
            <w:noWrap w:val="false"/>
          </w:tcPr>
          <w:p>
            <w:pPr>
              <w:jc w:val="left"/>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r>
            <w:r/>
          </w:p>
        </w:tc>
        <w:tc>
          <w:tcPr>
            <w:tcBorders>
              <w:top w:val="none" w:color="000000" w:sz="4" w:space="0"/>
              <w:left w:val="none" w:color="000000" w:sz="4" w:space="0"/>
              <w:bottom w:val="single" w:color="auto" w:sz="4" w:space="0"/>
              <w:right w:val="single" w:color="auto" w:sz="4" w:space="0"/>
            </w:tcBorders>
            <w:tcMar>
              <w:left w:w="28" w:type="dxa"/>
              <w:right w:w="28" w:type="dxa"/>
            </w:tcMar>
            <w:tcW w:w="743" w:type="dxa"/>
            <w:vAlign w:val="center"/>
            <w:textDirection w:val="lrTb"/>
            <w:noWrap w:val="false"/>
          </w:tcPr>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迭代</w:t>
            </w:r>
            <w:r/>
          </w:p>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优化</w:t>
            </w:r>
            <w:r/>
          </w:p>
        </w:tc>
        <w:tc>
          <w:tcPr>
            <w:tcBorders>
              <w:top w:val="none" w:color="000000" w:sz="4" w:space="0"/>
              <w:left w:val="none" w:color="000000" w:sz="4" w:space="0"/>
              <w:bottom w:val="single" w:color="auto" w:sz="4" w:space="0"/>
              <w:right w:val="single" w:color="auto" w:sz="4" w:space="0"/>
            </w:tcBorders>
            <w:tcMar>
              <w:left w:w="28" w:type="dxa"/>
              <w:right w:w="28" w:type="dxa"/>
            </w:tcMar>
            <w:tcW w:w="3675" w:type="dxa"/>
            <w:vAlign w:val="center"/>
            <w:textDirection w:val="lrTb"/>
            <w:noWrap w:val="false"/>
          </w:tcPr>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持续优化系统架构与业务流程，配合开展需求调研、功能开发、测试验证、版本发布、上线核验。（医保云2人，网厅1人，基层网厅1人）</w:t>
            </w:r>
            <w:r/>
          </w:p>
        </w:tc>
        <w:tc>
          <w:tcPr>
            <w:tcBorders>
              <w:top w:val="single" w:color="auto" w:sz="4" w:space="0"/>
              <w:left w:val="none" w:color="000000" w:sz="4" w:space="0"/>
              <w:bottom w:val="single" w:color="auto" w:sz="4" w:space="0"/>
              <w:right w:val="single" w:color="auto" w:sz="4" w:space="0"/>
            </w:tcBorders>
            <w:tcMar>
              <w:left w:w="28" w:type="dxa"/>
              <w:right w:w="28" w:type="dxa"/>
            </w:tcMar>
            <w:tcW w:w="861" w:type="dxa"/>
            <w:vAlign w:val="center"/>
            <w:textDirection w:val="lrTb"/>
            <w:noWrap w:val="false"/>
          </w:tcPr>
          <w:p>
            <w:pPr>
              <w:jc w:val="cente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4</w:t>
            </w:r>
            <w:r/>
          </w:p>
        </w:tc>
        <w:tc>
          <w:tcPr>
            <w:tcBorders>
              <w:top w:val="single" w:color="auto" w:sz="4" w:space="0"/>
              <w:left w:val="none" w:color="000000" w:sz="4" w:space="0"/>
              <w:bottom w:val="single" w:color="auto" w:sz="4" w:space="0"/>
              <w:right w:val="single" w:color="auto" w:sz="4" w:space="0"/>
            </w:tcBorders>
            <w:tcMar>
              <w:left w:w="28" w:type="dxa"/>
              <w:right w:w="28" w:type="dxa"/>
            </w:tcMar>
            <w:tcW w:w="2693" w:type="dxa"/>
            <w:vAlign w:val="center"/>
            <w:textDirection w:val="lrTb"/>
            <w:noWrap w:val="false"/>
          </w:tcPr>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其中负责人1名，需持有“软件设计师”中级及以上资格证书、“数据库系统工程师”中级及以上资格证书；其他人员具备不少于1年类似信息化项目运维经历。</w:t>
            </w:r>
            <w:r/>
          </w:p>
        </w:tc>
      </w:tr>
      <w:tr>
        <w:trPr>
          <w:jc w:val="center"/>
          <w:trHeight w:val="1173"/>
        </w:trPr>
        <w:tc>
          <w:tcPr>
            <w:tcBorders>
              <w:top w:val="none" w:color="000000" w:sz="4" w:space="0"/>
              <w:left w:val="single" w:color="auto" w:sz="4" w:space="0"/>
              <w:bottom w:val="single" w:color="auto" w:sz="4" w:space="0"/>
              <w:right w:val="single" w:color="auto" w:sz="4" w:space="0"/>
            </w:tcBorders>
            <w:tcMar>
              <w:left w:w="28" w:type="dxa"/>
              <w:right w:w="28" w:type="dxa"/>
            </w:tcMar>
            <w:tcW w:w="413" w:type="dxa"/>
            <w:vAlign w:val="center"/>
            <w:textDirection w:val="lrTb"/>
            <w:noWrap w:val="false"/>
          </w:tcPr>
          <w:p>
            <w:pPr>
              <w:jc w:val="center"/>
              <w:widowControl/>
              <w:rPr>
                <w:rFonts w:hint="eastAsia" w:ascii="方正黑体_GBK" w:hAnsi="宋体" w:eastAsia="方正黑体_GBK" w:cs="宋体"/>
                <w:color w:val="000000"/>
                <w:sz w:val="24"/>
                <w:szCs w:val="24"/>
                <w:highlight w:val="none"/>
              </w:rPr>
            </w:pPr>
            <w:r>
              <w:rPr>
                <w:rFonts w:hint="eastAsia" w:ascii="方正黑体_GBK" w:hAnsi="宋体" w:eastAsia="方正黑体_GBK" w:cs="宋体"/>
                <w:color w:val="000000"/>
                <w:sz w:val="24"/>
                <w:szCs w:val="24"/>
                <w:highlight w:val="none"/>
              </w:rPr>
              <w:t xml:space="preserve">4</w:t>
            </w:r>
            <w:r/>
          </w:p>
        </w:tc>
        <w:tc>
          <w:tcPr>
            <w:tcBorders>
              <w:top w:val="none" w:color="000000" w:sz="4" w:space="0"/>
              <w:left w:val="single" w:color="auto" w:sz="4" w:space="0"/>
              <w:bottom w:val="single" w:color="auto" w:sz="4" w:space="0"/>
              <w:right w:val="single" w:color="auto" w:sz="4" w:space="0"/>
            </w:tcBorders>
            <w:tcMar>
              <w:left w:w="28" w:type="dxa"/>
              <w:right w:w="28" w:type="dxa"/>
            </w:tcMar>
            <w:tcW w:w="624" w:type="dxa"/>
            <w:vAlign w:val="center"/>
            <w:vMerge w:val="continue"/>
            <w:textDirection w:val="lrTb"/>
            <w:noWrap w:val="false"/>
          </w:tcPr>
          <w:p>
            <w:pPr>
              <w:jc w:val="left"/>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r>
            <w:r/>
          </w:p>
        </w:tc>
        <w:tc>
          <w:tcPr>
            <w:tcBorders>
              <w:top w:val="none" w:color="000000" w:sz="4" w:space="0"/>
              <w:left w:val="none" w:color="000000" w:sz="4" w:space="0"/>
              <w:bottom w:val="single" w:color="auto" w:sz="4" w:space="0"/>
              <w:right w:val="single" w:color="auto" w:sz="4" w:space="0"/>
            </w:tcBorders>
            <w:tcMar>
              <w:left w:w="28" w:type="dxa"/>
              <w:right w:w="28" w:type="dxa"/>
            </w:tcMar>
            <w:tcW w:w="743" w:type="dxa"/>
            <w:vAlign w:val="center"/>
            <w:textDirection w:val="lrTb"/>
            <w:noWrap w:val="false"/>
          </w:tcPr>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医保云</w:t>
            </w:r>
            <w:r/>
          </w:p>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运营</w:t>
            </w:r>
            <w:r/>
          </w:p>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服务</w:t>
            </w:r>
            <w:r/>
          </w:p>
        </w:tc>
        <w:tc>
          <w:tcPr>
            <w:tcBorders>
              <w:top w:val="none" w:color="000000" w:sz="4" w:space="0"/>
              <w:left w:val="none" w:color="000000" w:sz="4" w:space="0"/>
              <w:bottom w:val="single" w:color="auto" w:sz="4" w:space="0"/>
              <w:right w:val="single" w:color="auto" w:sz="4" w:space="0"/>
            </w:tcBorders>
            <w:tcMar>
              <w:left w:w="28" w:type="dxa"/>
              <w:right w:w="28" w:type="dxa"/>
            </w:tcMar>
            <w:tcW w:w="3675" w:type="dxa"/>
            <w:vAlign w:val="center"/>
            <w:textDirection w:val="lrTb"/>
            <w:noWrap w:val="false"/>
          </w:tcPr>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受理江苏医保云相关线上或电话咨询，实时响应处理系统操作、业务办理、功能使用各类问题。</w:t>
            </w:r>
            <w:r/>
          </w:p>
        </w:tc>
        <w:tc>
          <w:tcPr>
            <w:tcBorders>
              <w:top w:val="single" w:color="auto" w:sz="4" w:space="0"/>
              <w:left w:val="none" w:color="000000" w:sz="4" w:space="0"/>
              <w:bottom w:val="single" w:color="auto" w:sz="4" w:space="0"/>
              <w:right w:val="single" w:color="auto" w:sz="4" w:space="0"/>
            </w:tcBorders>
            <w:tcMar>
              <w:left w:w="28" w:type="dxa"/>
              <w:right w:w="28" w:type="dxa"/>
            </w:tcMar>
            <w:tcW w:w="861" w:type="dxa"/>
            <w:vAlign w:val="center"/>
            <w:textDirection w:val="lrTb"/>
            <w:noWrap w:val="false"/>
          </w:tcPr>
          <w:p>
            <w:pPr>
              <w:jc w:val="cente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1</w:t>
            </w:r>
            <w:r/>
          </w:p>
        </w:tc>
        <w:tc>
          <w:tcPr>
            <w:tcBorders>
              <w:top w:val="single" w:color="auto" w:sz="4" w:space="0"/>
              <w:left w:val="none" w:color="000000" w:sz="4" w:space="0"/>
              <w:bottom w:val="single" w:color="auto" w:sz="4" w:space="0"/>
              <w:right w:val="single" w:color="auto" w:sz="4" w:space="0"/>
            </w:tcBorders>
            <w:tcMar>
              <w:left w:w="28" w:type="dxa"/>
              <w:right w:w="28" w:type="dxa"/>
            </w:tcMar>
            <w:tcW w:w="2693" w:type="dxa"/>
            <w:vAlign w:val="center"/>
            <w:textDirection w:val="lrTb"/>
            <w:noWrap w:val="false"/>
          </w:tcPr>
          <w:p>
            <w:pPr>
              <w:widowControl/>
              <w:rPr>
                <w:rFonts w:hint="eastAsia" w:ascii="方正仿宋_GBK" w:hAnsi="宋体" w:eastAsia="方正仿宋_GBK" w:cs="宋体"/>
                <w:color w:val="000000"/>
                <w:szCs w:val="21"/>
                <w:highlight w:val="none"/>
              </w:rPr>
            </w:pPr>
            <w:r>
              <w:rPr>
                <w:rFonts w:hint="eastAsia" w:ascii="方正仿宋_GBK" w:hAnsi="等线" w:eastAsia="方正仿宋_GBK" w:cs="宋体"/>
                <w:highlight w:val="none"/>
              </w:rPr>
              <w:t xml:space="preserve">具备不少于1年类似信息化项目开发经历。</w:t>
            </w:r>
            <w:r/>
          </w:p>
        </w:tc>
      </w:tr>
      <w:tr>
        <w:trPr>
          <w:jc w:val="center"/>
          <w:trHeight w:val="1121"/>
        </w:trPr>
        <w:tc>
          <w:tcPr>
            <w:tcBorders>
              <w:top w:val="none" w:color="000000" w:sz="4" w:space="0"/>
              <w:left w:val="single" w:color="auto" w:sz="4" w:space="0"/>
              <w:bottom w:val="single" w:color="auto" w:sz="4" w:space="0"/>
              <w:right w:val="single" w:color="auto" w:sz="4" w:space="0"/>
            </w:tcBorders>
            <w:tcMar>
              <w:left w:w="28" w:type="dxa"/>
              <w:right w:w="28" w:type="dxa"/>
            </w:tcMar>
            <w:tcW w:w="413" w:type="dxa"/>
            <w:vAlign w:val="center"/>
            <w:textDirection w:val="lrTb"/>
            <w:noWrap w:val="false"/>
          </w:tcPr>
          <w:p>
            <w:pPr>
              <w:jc w:val="cente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5</w:t>
            </w:r>
            <w:r/>
          </w:p>
        </w:tc>
        <w:tc>
          <w:tcPr>
            <w:tcBorders>
              <w:top w:val="none" w:color="000000" w:sz="4" w:space="0"/>
              <w:left w:val="single" w:color="auto" w:sz="4" w:space="0"/>
              <w:bottom w:val="single" w:color="auto" w:sz="4" w:space="0"/>
              <w:right w:val="single" w:color="auto" w:sz="4" w:space="0"/>
            </w:tcBorders>
            <w:tcMar>
              <w:left w:w="28" w:type="dxa"/>
              <w:right w:w="28" w:type="dxa"/>
            </w:tcMar>
            <w:tcW w:w="624" w:type="dxa"/>
            <w:vAlign w:val="center"/>
            <w:vMerge w:val="continue"/>
            <w:textDirection w:val="lrTb"/>
            <w:noWrap w:val="false"/>
          </w:tcPr>
          <w:p>
            <w:pPr>
              <w:jc w:val="left"/>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r>
            <w:r/>
          </w:p>
        </w:tc>
        <w:tc>
          <w:tcPr>
            <w:tcBorders>
              <w:top w:val="none" w:color="000000" w:sz="4" w:space="0"/>
              <w:left w:val="none" w:color="000000" w:sz="4" w:space="0"/>
              <w:bottom w:val="single" w:color="auto" w:sz="4" w:space="0"/>
              <w:right w:val="single" w:color="auto" w:sz="4" w:space="0"/>
            </w:tcBorders>
            <w:tcMar>
              <w:left w:w="28" w:type="dxa"/>
              <w:right w:w="28" w:type="dxa"/>
            </w:tcMar>
            <w:tcW w:w="743" w:type="dxa"/>
            <w:vAlign w:val="center"/>
            <w:textDirection w:val="lrTb"/>
            <w:noWrap w:val="false"/>
          </w:tcPr>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第三方</w:t>
            </w:r>
            <w:r/>
          </w:p>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对接</w:t>
            </w:r>
            <w:r/>
          </w:p>
        </w:tc>
        <w:tc>
          <w:tcPr>
            <w:tcBorders>
              <w:top w:val="none" w:color="000000" w:sz="4" w:space="0"/>
              <w:left w:val="none" w:color="000000" w:sz="4" w:space="0"/>
              <w:bottom w:val="single" w:color="auto" w:sz="4" w:space="0"/>
              <w:right w:val="single" w:color="auto" w:sz="4" w:space="0"/>
            </w:tcBorders>
            <w:tcMar>
              <w:left w:w="28" w:type="dxa"/>
              <w:right w:w="28" w:type="dxa"/>
            </w:tcMar>
            <w:tcW w:w="3675" w:type="dxa"/>
            <w:vAlign w:val="center"/>
            <w:textDirection w:val="lrTb"/>
            <w:noWrap w:val="false"/>
          </w:tcPr>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完成高效办成“一件事”、基层一平台、苏政源等政务服务一体化相关对接工作，配合各级医保部门、定点医药机构、金融机构等第三方渠道完成公服相关功能对接，并纳入统一管理。</w:t>
            </w:r>
            <w:r/>
          </w:p>
        </w:tc>
        <w:tc>
          <w:tcPr>
            <w:tcBorders>
              <w:top w:val="single" w:color="auto" w:sz="4" w:space="0"/>
              <w:left w:val="none" w:color="000000" w:sz="4" w:space="0"/>
              <w:bottom w:val="single" w:color="auto" w:sz="4" w:space="0"/>
              <w:right w:val="single" w:color="auto" w:sz="4" w:space="0"/>
            </w:tcBorders>
            <w:tcMar>
              <w:left w:w="28" w:type="dxa"/>
              <w:right w:w="28" w:type="dxa"/>
            </w:tcMar>
            <w:tcW w:w="861" w:type="dxa"/>
            <w:vAlign w:val="center"/>
            <w:textDirection w:val="lrTb"/>
            <w:noWrap w:val="false"/>
          </w:tcPr>
          <w:p>
            <w:pPr>
              <w:jc w:val="cente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2</w:t>
            </w:r>
            <w:r/>
          </w:p>
        </w:tc>
        <w:tc>
          <w:tcPr>
            <w:tcBorders>
              <w:top w:val="single" w:color="auto" w:sz="4" w:space="0"/>
              <w:left w:val="none" w:color="000000" w:sz="4" w:space="0"/>
              <w:bottom w:val="single" w:color="auto" w:sz="4" w:space="0"/>
              <w:right w:val="single" w:color="auto" w:sz="4" w:space="0"/>
            </w:tcBorders>
            <w:tcMar>
              <w:left w:w="28" w:type="dxa"/>
              <w:right w:w="28" w:type="dxa"/>
            </w:tcMar>
            <w:tcW w:w="2693" w:type="dxa"/>
            <w:vAlign w:val="center"/>
            <w:textDirection w:val="lrTb"/>
            <w:noWrap w:val="false"/>
          </w:tcPr>
          <w:p>
            <w:pPr>
              <w:widowControl/>
              <w:rPr>
                <w:rFonts w:hint="eastAsia" w:ascii="方正仿宋_GBK" w:hAnsi="宋体" w:eastAsia="方正仿宋_GBK" w:cs="宋体"/>
                <w:color w:val="000000"/>
                <w:szCs w:val="21"/>
                <w:highlight w:val="none"/>
              </w:rPr>
            </w:pPr>
            <w:r>
              <w:rPr>
                <w:rFonts w:hint="eastAsia" w:ascii="方正仿宋_GBK" w:hAnsi="等线" w:eastAsia="方正仿宋_GBK" w:cs="宋体"/>
                <w:highlight w:val="none"/>
              </w:rPr>
              <w:t xml:space="preserve">具备不少于1年类似信息化项目开发经历。</w:t>
            </w:r>
            <w:r/>
          </w:p>
        </w:tc>
      </w:tr>
      <w:tr>
        <w:trPr>
          <w:jc w:val="center"/>
          <w:trHeight w:val="1022"/>
        </w:trPr>
        <w:tc>
          <w:tcPr>
            <w:tcBorders>
              <w:top w:val="none" w:color="000000" w:sz="4" w:space="0"/>
              <w:left w:val="single" w:color="auto" w:sz="4" w:space="0"/>
              <w:bottom w:val="single" w:color="auto" w:sz="4" w:space="0"/>
              <w:right w:val="single" w:color="auto" w:sz="4" w:space="0"/>
            </w:tcBorders>
            <w:tcMar>
              <w:left w:w="28" w:type="dxa"/>
              <w:right w:w="28" w:type="dxa"/>
            </w:tcMar>
            <w:tcW w:w="413" w:type="dxa"/>
            <w:vAlign w:val="center"/>
            <w:textDirection w:val="lrTb"/>
            <w:noWrap w:val="false"/>
          </w:tcPr>
          <w:p>
            <w:pPr>
              <w:jc w:val="center"/>
              <w:widowControl/>
              <w:rPr>
                <w:rFonts w:hint="eastAsia" w:ascii="方正黑体_GBK" w:hAnsi="宋体" w:eastAsia="方正黑体_GBK" w:cs="宋体"/>
                <w:color w:val="000000"/>
                <w:sz w:val="24"/>
                <w:szCs w:val="24"/>
                <w:highlight w:val="none"/>
              </w:rPr>
            </w:pPr>
            <w:r>
              <w:rPr>
                <w:rFonts w:hint="eastAsia" w:ascii="方正黑体_GBK" w:hAnsi="宋体" w:eastAsia="方正黑体_GBK" w:cs="宋体"/>
                <w:color w:val="000000"/>
                <w:sz w:val="24"/>
                <w:szCs w:val="24"/>
                <w:highlight w:val="none"/>
              </w:rPr>
              <w:t xml:space="preserve">6</w:t>
            </w:r>
            <w:r/>
          </w:p>
        </w:tc>
        <w:tc>
          <w:tcPr>
            <w:gridSpan w:val="2"/>
            <w:tcBorders>
              <w:top w:val="single" w:color="auto" w:sz="4" w:space="0"/>
              <w:left w:val="none" w:color="000000" w:sz="4" w:space="0"/>
              <w:bottom w:val="single" w:color="auto" w:sz="4" w:space="0"/>
              <w:right w:val="single" w:color="auto" w:sz="4" w:space="0"/>
            </w:tcBorders>
            <w:tcMar>
              <w:left w:w="28" w:type="dxa"/>
              <w:right w:w="28" w:type="dxa"/>
            </w:tcMar>
            <w:tcW w:w="1367" w:type="dxa"/>
            <w:vAlign w:val="center"/>
            <w:textDirection w:val="lrTb"/>
            <w:noWrap w:val="false"/>
          </w:tcPr>
          <w:p>
            <w:pPr>
              <w:jc w:val="cente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便捷</w:t>
            </w:r>
            <w:r/>
          </w:p>
          <w:p>
            <w:pPr>
              <w:jc w:val="cente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支付</w:t>
            </w:r>
            <w:r/>
          </w:p>
          <w:p>
            <w:pPr>
              <w:jc w:val="cente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服务</w:t>
            </w:r>
            <w:r/>
          </w:p>
        </w:tc>
        <w:tc>
          <w:tcPr>
            <w:tcBorders>
              <w:top w:val="none" w:color="000000" w:sz="4" w:space="0"/>
              <w:left w:val="none" w:color="000000" w:sz="4" w:space="0"/>
              <w:bottom w:val="single" w:color="auto" w:sz="4" w:space="0"/>
              <w:right w:val="single" w:color="auto" w:sz="4" w:space="0"/>
            </w:tcBorders>
            <w:tcMar>
              <w:left w:w="28" w:type="dxa"/>
              <w:right w:w="28" w:type="dxa"/>
            </w:tcMar>
            <w:tcW w:w="3675" w:type="dxa"/>
            <w:vAlign w:val="center"/>
            <w:textDirection w:val="lrTb"/>
            <w:noWrap w:val="false"/>
          </w:tcPr>
          <w:p>
            <w:pP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向全省定点医药机构免费提供基于国家医保信息平台标准规范的移动支付（3人）、云陪诊（1人）、一码付（1人）等接口培训、联调服务和测试工具，在规定时间内完成接口对接。</w:t>
            </w:r>
            <w:r/>
          </w:p>
        </w:tc>
        <w:tc>
          <w:tcPr>
            <w:tcBorders>
              <w:top w:val="single" w:color="auto" w:sz="4" w:space="0"/>
              <w:left w:val="none" w:color="000000" w:sz="4" w:space="0"/>
              <w:bottom w:val="single" w:color="auto" w:sz="4" w:space="0"/>
              <w:right w:val="single" w:color="auto" w:sz="4" w:space="0"/>
            </w:tcBorders>
            <w:tcMar>
              <w:left w:w="28" w:type="dxa"/>
              <w:right w:w="28" w:type="dxa"/>
            </w:tcMar>
            <w:tcW w:w="861" w:type="dxa"/>
            <w:vAlign w:val="center"/>
            <w:textDirection w:val="lrTb"/>
            <w:noWrap w:val="false"/>
          </w:tcPr>
          <w:p>
            <w:pPr>
              <w:jc w:val="center"/>
              <w:widowControl/>
              <w:rPr>
                <w:rFonts w:hint="eastAsia" w:ascii="方正仿宋_GBK" w:hAnsi="宋体" w:eastAsia="方正仿宋_GBK" w:cs="宋体"/>
                <w:color w:val="000000"/>
                <w:szCs w:val="21"/>
                <w:highlight w:val="none"/>
              </w:rPr>
            </w:pPr>
            <w:r>
              <w:rPr>
                <w:rFonts w:hint="eastAsia" w:ascii="方正仿宋_GBK" w:hAnsi="宋体" w:eastAsia="方正仿宋_GBK" w:cs="宋体"/>
                <w:color w:val="000000"/>
                <w:szCs w:val="21"/>
                <w:highlight w:val="none"/>
              </w:rPr>
              <w:t xml:space="preserve">5</w:t>
            </w:r>
            <w:r/>
          </w:p>
        </w:tc>
        <w:tc>
          <w:tcPr>
            <w:tcBorders>
              <w:top w:val="single" w:color="auto" w:sz="4" w:space="0"/>
              <w:left w:val="none" w:color="000000" w:sz="4" w:space="0"/>
              <w:bottom w:val="single" w:color="auto" w:sz="4" w:space="0"/>
              <w:right w:val="single" w:color="auto" w:sz="4" w:space="0"/>
            </w:tcBorders>
            <w:tcMar>
              <w:left w:w="28" w:type="dxa"/>
              <w:right w:w="28" w:type="dxa"/>
            </w:tcMar>
            <w:tcW w:w="2693" w:type="dxa"/>
            <w:vAlign w:val="center"/>
            <w:textDirection w:val="lrTb"/>
            <w:noWrap w:val="false"/>
          </w:tcPr>
          <w:p>
            <w:pPr>
              <w:widowControl/>
              <w:rPr>
                <w:rFonts w:hint="eastAsia" w:ascii="方正仿宋_GBK" w:hAnsi="等线" w:eastAsia="方正仿宋_GBK" w:cs="宋体"/>
                <w:highlight w:val="none"/>
              </w:rPr>
            </w:pPr>
            <w:r>
              <w:rPr>
                <w:rFonts w:hint="eastAsia" w:ascii="方正仿宋_GBK" w:hAnsi="宋体" w:eastAsia="方正仿宋_GBK" w:cs="宋体"/>
                <w:color w:val="000000"/>
                <w:szCs w:val="21"/>
                <w:highlight w:val="none"/>
              </w:rPr>
              <w:t xml:space="preserve">其中</w:t>
            </w:r>
            <w:r>
              <w:rPr>
                <w:rFonts w:ascii="方正仿宋_GBK" w:hAnsi="宋体" w:eastAsia="方正仿宋_GBK" w:cs="宋体"/>
                <w:color w:val="000000"/>
                <w:szCs w:val="21"/>
                <w:highlight w:val="none"/>
              </w:rPr>
              <w:t xml:space="preserve">负责人</w:t>
            </w:r>
            <w:r>
              <w:rPr>
                <w:rFonts w:hint="eastAsia" w:ascii="方正仿宋_GBK" w:hAnsi="宋体" w:eastAsia="方正仿宋_GBK" w:cs="宋体"/>
                <w:color w:val="000000"/>
                <w:szCs w:val="21"/>
                <w:highlight w:val="none"/>
              </w:rPr>
              <w:t xml:space="preserve">1名，</w:t>
            </w:r>
            <w:r>
              <w:rPr>
                <w:rFonts w:ascii="方正仿宋_GBK" w:hAnsi="宋体" w:eastAsia="方正仿宋_GBK" w:cs="宋体"/>
                <w:color w:val="000000"/>
                <w:szCs w:val="21"/>
                <w:highlight w:val="none"/>
              </w:rPr>
              <w:t xml:space="preserve">需持有“软件设计师”中级及以上资格证书、“数据库系统工程师”中级及以上资格证书；其他人员具备不少于1年类似信息化项目开发经历。</w:t>
            </w:r>
            <w:r/>
          </w:p>
        </w:tc>
      </w:tr>
    </w:tbl>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（三）运维人员作息要求</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所有驻场运维人员需严格遵守驻场运维工作纪律，按照采购人指定的刷卡、刷脸等方式进行每日考勤，工作时间不得从事与本项目无关的事情。</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1.工作日：执行采购人作息时间，并保持7×24小时电话畅通。</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2.节假日：项目运维团队需在节假日8:30至18:00之间至少安排1人驻场值班（能够根据项目需要和采购人要求增派驻场值班人员），其他时段保持7×24小时电话畅通。</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3.重大活动期间：提供重大活动期间的现场技术保障服务，做好值班备勤安排和特殊保障计划。</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六、运维服务考核要求</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采购人将对中标方提供的运维服务情况进行考核，并在签订合同后服务满12个月、以及服务</w:t>
      </w:r>
      <w:r>
        <w:rPr>
          <w:rFonts w:hint="eastAsia" w:ascii="Times New Roman" w:hAnsi="Times New Roman" w:eastAsia="方正仿宋_GBK" w:cs="Times New Roman"/>
          <w:sz w:val="32"/>
          <w:szCs w:val="32"/>
          <w:highlight w:val="none"/>
          <w:lang w:val="en-US" w:eastAsia="zh-CN"/>
        </w:rPr>
        <w:tab/>
      </w:r>
      <w:r>
        <w:rPr>
          <w:rFonts w:hint="eastAsia" w:ascii="Times New Roman" w:hAnsi="Times New Roman" w:eastAsia="方正仿宋_GBK" w:cs="Times New Roman"/>
          <w:sz w:val="32"/>
          <w:szCs w:val="32"/>
          <w:highlight w:val="none"/>
          <w:lang w:val="en-US" w:eastAsia="zh-CN"/>
        </w:rPr>
        <w:tab/>
      </w:r>
      <w:r>
        <w:rPr>
          <w:rFonts w:ascii="Times New Roman" w:hAnsi="Times New Roman" w:eastAsia="方正仿宋_GBK" w:cs="Times New Roman"/>
          <w:sz w:val="32"/>
          <w:szCs w:val="32"/>
          <w:highlight w:val="none"/>
        </w:rPr>
        <w:t xml:space="preserve">期满后分别出具考核评价分数(</w:t>
      </w:r>
      <w:r>
        <w:rPr>
          <w:rFonts w:hint="eastAsia" w:ascii="Times New Roman" w:hAnsi="Times New Roman" w:eastAsia="方正仿宋_GBK" w:cs="Times New Roman"/>
          <w:sz w:val="32"/>
          <w:szCs w:val="32"/>
          <w:highlight w:val="none"/>
        </w:rPr>
        <w:t xml:space="preserve">采购人有权按照实际工作需要调整考核要求</w:t>
      </w:r>
      <w:r>
        <w:rPr>
          <w:rFonts w:ascii="Times New Roman" w:hAnsi="Times New Roman" w:eastAsia="方正仿宋_GBK" w:cs="Times New Roman"/>
          <w:sz w:val="32"/>
          <w:szCs w:val="32"/>
          <w:highlight w:val="none"/>
        </w:rPr>
        <w:t xml:space="preserve">)。</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考核要求如下：</w:t>
      </w:r>
      <w:r/>
    </w:p>
    <w:tbl>
      <w:tblPr>
        <w:tblStyle w:val="917"/>
        <w:tblW w:w="10534"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446"/>
        <w:gridCol w:w="708"/>
        <w:gridCol w:w="2694"/>
        <w:gridCol w:w="4962"/>
      </w:tblGrid>
      <w:tr>
        <w:trPr>
          <w:trHeight w:val="567"/>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黑体_GBK" w:cs="Times New Roman"/>
                <w:sz w:val="24"/>
                <w:szCs w:val="24"/>
                <w:highlight w:val="none"/>
              </w:rPr>
            </w:pPr>
            <w:r>
              <w:rPr>
                <w:rFonts w:hint="eastAsia" w:ascii="Times New Roman" w:hAnsi="Times New Roman" w:eastAsia="方正黑体_GBK" w:cs="Times New Roman"/>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黑体_GBK" w:cs="Times New Roman"/>
                <w:sz w:val="24"/>
                <w:szCs w:val="24"/>
                <w:highlight w:val="none"/>
              </w:rPr>
            </w:pPr>
            <w:r>
              <w:rPr>
                <w:rFonts w:hint="eastAsia" w:ascii="Times New Roman" w:hAnsi="Times New Roman" w:eastAsia="方正黑体_GBK" w:cs="Times New Roman"/>
                <w:sz w:val="24"/>
                <w:szCs w:val="24"/>
                <w:highlight w:val="none"/>
              </w:rPr>
              <w:t xml:space="preserve">评价指标</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黑体_GBK" w:cs="Times New Roman"/>
                <w:sz w:val="24"/>
                <w:szCs w:val="24"/>
                <w:highlight w:val="none"/>
              </w:rPr>
            </w:pPr>
            <w:r>
              <w:rPr>
                <w:rFonts w:hint="eastAsia" w:ascii="Times New Roman" w:hAnsi="Times New Roman" w:eastAsia="方正黑体_GBK" w:cs="Times New Roman"/>
                <w:sz w:val="24"/>
                <w:szCs w:val="24"/>
                <w:highlight w:val="none"/>
              </w:rPr>
              <w:t xml:space="preserve">分值</w:t>
            </w:r>
            <w:r/>
          </w:p>
        </w:tc>
        <w:tc>
          <w:tcPr>
            <w:tcBorders>
              <w:top w:val="single" w:color="auto" w:sz="4" w:space="0"/>
              <w:left w:val="none" w:color="000000" w:sz="4" w:space="0"/>
              <w:bottom w:val="single" w:color="auto" w:sz="4" w:space="0"/>
              <w:right w:val="single" w:color="auto" w:sz="4" w:space="0"/>
            </w:tcBorders>
            <w:tcW w:w="2694" w:type="dxa"/>
            <w:vAlign w:val="center"/>
            <w:textDirection w:val="lrTb"/>
            <w:noWrap w:val="false"/>
          </w:tcPr>
          <w:p>
            <w:pPr>
              <w:jc w:val="center"/>
              <w:rPr>
                <w:rFonts w:ascii="Times New Roman" w:hAnsi="Times New Roman" w:eastAsia="方正黑体_GBK" w:cs="Times New Roman"/>
                <w:sz w:val="24"/>
                <w:szCs w:val="24"/>
                <w:highlight w:val="none"/>
              </w:rPr>
            </w:pPr>
            <w:r>
              <w:rPr>
                <w:rFonts w:hint="eastAsia" w:ascii="Times New Roman" w:hAnsi="Times New Roman" w:eastAsia="方正黑体_GBK" w:cs="Times New Roman"/>
                <w:sz w:val="24"/>
                <w:szCs w:val="24"/>
                <w:highlight w:val="none"/>
              </w:rPr>
              <w:t xml:space="preserve">评价内容</w:t>
            </w:r>
            <w:r/>
          </w:p>
        </w:tc>
        <w:tc>
          <w:tcPr>
            <w:tcBorders>
              <w:top w:val="single" w:color="auto" w:sz="4" w:space="0"/>
              <w:left w:val="none" w:color="000000" w:sz="4" w:space="0"/>
              <w:bottom w:val="single" w:color="auto" w:sz="4" w:space="0"/>
              <w:right w:val="single" w:color="auto" w:sz="4" w:space="0"/>
            </w:tcBorders>
            <w:tcW w:w="4962" w:type="dxa"/>
            <w:vAlign w:val="center"/>
            <w:textDirection w:val="lrTb"/>
            <w:noWrap/>
          </w:tcPr>
          <w:p>
            <w:pPr>
              <w:jc w:val="center"/>
              <w:spacing w:line="280" w:lineRule="exact"/>
              <w:widowControl/>
              <w:rPr>
                <w:rFonts w:ascii="Times New Roman" w:hAnsi="Times New Roman" w:eastAsia="方正黑体_GBK" w:cs="Times New Roman"/>
                <w:sz w:val="24"/>
                <w:szCs w:val="24"/>
                <w:highlight w:val="none"/>
              </w:rPr>
            </w:pPr>
            <w:r>
              <w:rPr>
                <w:rFonts w:hint="eastAsia" w:ascii="Times New Roman" w:hAnsi="Times New Roman" w:eastAsia="方正黑体_GBK" w:cs="Times New Roman"/>
                <w:sz w:val="24"/>
                <w:szCs w:val="24"/>
                <w:highlight w:val="none"/>
              </w:rPr>
              <w:t xml:space="preserve">评分标准</w:t>
            </w:r>
            <w:r/>
          </w:p>
        </w:tc>
      </w:tr>
      <w:tr>
        <w:trPr>
          <w:trHeight w:val="1769"/>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验收组意见</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70</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验收组对供应商提供的货物、系统和服务按照采购文件、投标（响应）文件、政府采购合同等进行逐一核对、验收。</w:t>
            </w:r>
            <w:r/>
          </w:p>
        </w:tc>
        <w:tc>
          <w:tcPr>
            <w:tcBorders>
              <w:top w:val="none" w:color="000000" w:sz="4" w:space="0"/>
              <w:left w:val="none" w:color="000000" w:sz="4" w:space="0"/>
              <w:bottom w:val="single" w:color="auto" w:sz="4" w:space="0"/>
              <w:right w:val="single" w:color="auto" w:sz="4" w:space="0"/>
            </w:tcBorders>
            <w:tcW w:w="4962" w:type="dxa"/>
            <w:vAlign w:val="center"/>
            <w:textDirection w:val="lrTb"/>
            <w:noWrap/>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验收通过，得70分。</w:t>
            </w:r>
            <w:r/>
          </w:p>
        </w:tc>
      </w:tr>
      <w:tr>
        <w:trPr>
          <w:trHeight w:val="2106"/>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日常考核</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信息管理部门和总集服务团队在项目合同履约期内，每周对该项目驻场人员管理、项目实施管理、系统运行维护、信息安全等方面进行评价。</w:t>
            </w:r>
            <w:r/>
          </w:p>
        </w:tc>
        <w:tc>
          <w:tcPr>
            <w:tcBorders>
              <w:top w:val="none" w:color="000000" w:sz="4" w:space="0"/>
              <w:left w:val="none" w:color="000000" w:sz="4" w:space="0"/>
              <w:bottom w:val="single" w:color="auto" w:sz="4" w:space="0"/>
              <w:right w:val="single" w:color="auto" w:sz="4" w:space="0"/>
            </w:tcBorders>
            <w:tcW w:w="4962" w:type="dxa"/>
            <w:vAlign w:val="center"/>
            <w:textDirection w:val="lrTb"/>
            <w:noWrap/>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合同履约期内项目每周考核平均得分÷5</w:t>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业务处室满意度</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牵头业务处室根据供应商沟通配合、服务质量、响应速度、工作成效等情况进行评价。</w:t>
            </w:r>
            <w:r/>
          </w:p>
        </w:tc>
        <w:tc>
          <w:tcPr>
            <w:tcBorders>
              <w:top w:val="none" w:color="000000" w:sz="4" w:space="0"/>
              <w:left w:val="none" w:color="000000" w:sz="4" w:space="0"/>
              <w:bottom w:val="single" w:color="auto" w:sz="4" w:space="0"/>
              <w:right w:val="single" w:color="auto" w:sz="4" w:space="0"/>
            </w:tcBorders>
            <w:tcW w:w="4962" w:type="dxa"/>
            <w:vAlign w:val="center"/>
            <w:textDirection w:val="lrTb"/>
            <w:noWrap/>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1.需求理解清晰,主动定期汇报，得2分；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2.服务流程规范，交付符合需求，得2分；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3.问题响应迅速，评估处理及时，得3分；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4.成果达到预期，有效支撑业务运转，得3分。</w:t>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加分项</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对工作成效进行评价。.</w:t>
            </w:r>
            <w:r/>
          </w:p>
        </w:tc>
        <w:tc>
          <w:tcPr>
            <w:tcBorders>
              <w:top w:val="none" w:color="000000" w:sz="4" w:space="0"/>
              <w:left w:val="none" w:color="000000" w:sz="4" w:space="0"/>
              <w:bottom w:val="single" w:color="auto" w:sz="4" w:space="0"/>
              <w:right w:val="single" w:color="auto" w:sz="4" w:space="0"/>
            </w:tcBorders>
            <w:tcW w:w="4962" w:type="dxa"/>
            <w:vAlign w:val="center"/>
            <w:textDirection w:val="lrTb"/>
            <w:noWrap w:val="false"/>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1.执行重大保障、应急处置、专项攻坚等任务成效突出，获省局书面肯定的，每次得2分；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2.项目成果获得国家级以上奖项的，得2分；获得省级以上奖项的，得1分。</w:t>
            </w:r>
            <w:r/>
          </w:p>
        </w:tc>
      </w:tr>
      <w:tr>
        <w:trPr>
          <w:trHeight w:val="56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446" w:type="dxa"/>
            <w:vAlign w:val="center"/>
            <w:textDirection w:val="lrTb"/>
            <w:noWrap/>
          </w:tcPr>
          <w:p>
            <w:pPr>
              <w:jc w:val="cente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扣分项</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Borders>
              <w:top w:val="none" w:color="000000" w:sz="4" w:space="0"/>
              <w:left w:val="none" w:color="000000" w:sz="4" w:space="0"/>
              <w:bottom w:val="single" w:color="auto" w:sz="4" w:space="0"/>
              <w:right w:val="single" w:color="auto" w:sz="4" w:space="0"/>
            </w:tcBorders>
            <w:tcW w:w="2694" w:type="dxa"/>
            <w:vAlign w:val="center"/>
            <w:textDirection w:val="lrTb"/>
            <w:noWrap w:val="false"/>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对系统开发实施质量、网络和信息安全等方面进行评价。</w:t>
            </w:r>
            <w:r/>
          </w:p>
        </w:tc>
        <w:tc>
          <w:tcPr>
            <w:tcBorders>
              <w:top w:val="none" w:color="000000" w:sz="4" w:space="0"/>
              <w:left w:val="none" w:color="000000" w:sz="4" w:space="0"/>
              <w:bottom w:val="single" w:color="auto" w:sz="4" w:space="0"/>
              <w:right w:val="single" w:color="auto" w:sz="4" w:space="0"/>
            </w:tcBorders>
            <w:tcW w:w="4962" w:type="dxa"/>
            <w:vAlign w:val="center"/>
            <w:textDirection w:val="lrTb"/>
            <w:noWrap w:val="false"/>
          </w:tcPr>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1.每发生一次一级故障，扣2分；每发生一次二级故障，扣1.5分；每发生一次三级故障，扣1分；每发生一次四级故障，扣0.5分；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2.每发生一起医保数据泄露事件，扣2分；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3.每发生一起被国家相关部委通报的安全事件，扣2分；每发生一起被省级相关部门通报的安全事件，扣1分。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4.每发生一次打版回退，扣0.5分；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5.系统上线前，未一次性通过省局组织的第三方软件测试的，扣0.5分；</w:t>
            </w:r>
            <w:r/>
          </w:p>
          <w:p>
            <w:pPr>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t xml:space="preserve">6.系统上线前，未一次性通过省局组织的第三方安全测试的，扣0.5分。</w:t>
            </w:r>
            <w:r/>
          </w:p>
        </w:tc>
      </w:tr>
    </w:tbl>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七、服务响应时间及应急处置要求</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（一）</w:t>
      </w:r>
      <w:r>
        <w:rPr>
          <w:rFonts w:ascii="Times New Roman" w:hAnsi="Times New Roman" w:eastAsia="方正楷体_GBK" w:cs="Times New Roman"/>
          <w:bCs/>
          <w:sz w:val="32"/>
          <w:szCs w:val="32"/>
          <w:highlight w:val="none"/>
        </w:rPr>
        <w:t xml:space="preserve">服务时间要求</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正常工作时间：现场服务，及时响应。</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非工作时间：提供7×24小时不关机响应。</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（二）</w:t>
      </w:r>
      <w:r>
        <w:rPr>
          <w:rFonts w:ascii="Times New Roman" w:hAnsi="Times New Roman" w:eastAsia="方正楷体_GBK" w:cs="Times New Roman"/>
          <w:bCs/>
          <w:sz w:val="32"/>
          <w:szCs w:val="32"/>
          <w:highlight w:val="none"/>
        </w:rPr>
        <w:t xml:space="preserve">服务响应时间</w:t>
      </w:r>
      <w:r/>
    </w:p>
    <w:tbl>
      <w:tblPr>
        <w:tblStyle w:val="917"/>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7"/>
        <w:gridCol w:w="3699"/>
        <w:gridCol w:w="1714"/>
        <w:gridCol w:w="1440"/>
        <w:gridCol w:w="1283"/>
      </w:tblGrid>
      <w:tr>
        <w:trPr/>
        <w:tc>
          <w:tcPr>
            <w:tcW w:w="751" w:type="pct"/>
            <w:vAlign w:val="center"/>
            <w:textDirection w:val="lrTb"/>
            <w:noWrap w:val="false"/>
          </w:tcPr>
          <w:p>
            <w:pPr>
              <w:jc w:val="center"/>
              <w:rPr>
                <w:rFonts w:ascii="Times New Roman" w:hAnsi="Times New Roman" w:eastAsia="方正黑体_GBK" w:cs="Times New Roman"/>
                <w:sz w:val="24"/>
                <w:szCs w:val="28"/>
                <w:highlight w:val="none"/>
              </w:rPr>
            </w:pPr>
            <w:r>
              <w:rPr>
                <w:rFonts w:ascii="Times New Roman" w:hAnsi="Times New Roman" w:eastAsia="方正黑体_GBK" w:cs="Times New Roman"/>
                <w:sz w:val="24"/>
                <w:szCs w:val="28"/>
                <w:highlight w:val="none"/>
              </w:rPr>
              <w:t xml:space="preserve">故障等级</w:t>
            </w:r>
            <w:r/>
          </w:p>
        </w:tc>
        <w:tc>
          <w:tcPr>
            <w:tcW w:w="1932" w:type="pct"/>
            <w:vAlign w:val="center"/>
            <w:textDirection w:val="lrTb"/>
            <w:noWrap w:val="false"/>
          </w:tcPr>
          <w:p>
            <w:pPr>
              <w:jc w:val="center"/>
              <w:rPr>
                <w:rFonts w:ascii="Times New Roman" w:hAnsi="Times New Roman" w:eastAsia="方正黑体_GBK" w:cs="Times New Roman"/>
                <w:sz w:val="24"/>
                <w:szCs w:val="28"/>
                <w:highlight w:val="none"/>
              </w:rPr>
            </w:pPr>
            <w:r>
              <w:rPr>
                <w:rFonts w:ascii="Times New Roman" w:hAnsi="Times New Roman" w:eastAsia="方正黑体_GBK" w:cs="Times New Roman"/>
                <w:sz w:val="24"/>
                <w:szCs w:val="28"/>
                <w:highlight w:val="none"/>
              </w:rPr>
              <w:t xml:space="preserve">现象描述</w:t>
            </w:r>
            <w:r/>
          </w:p>
        </w:tc>
        <w:tc>
          <w:tcPr>
            <w:tcW w:w="895" w:type="pct"/>
            <w:vAlign w:val="center"/>
            <w:textDirection w:val="lrTb"/>
            <w:noWrap w:val="false"/>
          </w:tcPr>
          <w:p>
            <w:pPr>
              <w:jc w:val="center"/>
              <w:rPr>
                <w:rFonts w:ascii="Times New Roman" w:hAnsi="Times New Roman" w:eastAsia="方正黑体_GBK" w:cs="Times New Roman"/>
                <w:sz w:val="24"/>
                <w:szCs w:val="28"/>
                <w:highlight w:val="none"/>
              </w:rPr>
            </w:pPr>
            <w:r>
              <w:rPr>
                <w:rFonts w:ascii="Times New Roman" w:hAnsi="Times New Roman" w:eastAsia="方正黑体_GBK" w:cs="Times New Roman"/>
                <w:sz w:val="24"/>
                <w:szCs w:val="28"/>
                <w:highlight w:val="none"/>
              </w:rPr>
              <w:t xml:space="preserve">时段</w:t>
            </w:r>
            <w:r/>
          </w:p>
        </w:tc>
        <w:tc>
          <w:tcPr>
            <w:tcW w:w="752" w:type="pct"/>
            <w:vAlign w:val="center"/>
            <w:textDirection w:val="lrTb"/>
            <w:noWrap w:val="false"/>
          </w:tcPr>
          <w:p>
            <w:pPr>
              <w:jc w:val="center"/>
              <w:rPr>
                <w:rFonts w:ascii="Times New Roman" w:hAnsi="Times New Roman" w:eastAsia="方正黑体_GBK" w:cs="Times New Roman"/>
                <w:sz w:val="24"/>
                <w:szCs w:val="28"/>
                <w:highlight w:val="none"/>
              </w:rPr>
            </w:pPr>
            <w:r>
              <w:rPr>
                <w:rFonts w:ascii="Times New Roman" w:hAnsi="Times New Roman" w:eastAsia="方正黑体_GBK" w:cs="Times New Roman"/>
                <w:sz w:val="24"/>
                <w:szCs w:val="28"/>
                <w:highlight w:val="none"/>
              </w:rPr>
              <w:t xml:space="preserve">响应时间</w:t>
            </w:r>
            <w:r/>
          </w:p>
        </w:tc>
        <w:tc>
          <w:tcPr>
            <w:tcW w:w="670" w:type="pct"/>
            <w:vAlign w:val="center"/>
            <w:textDirection w:val="lrTb"/>
            <w:noWrap w:val="false"/>
          </w:tcPr>
          <w:p>
            <w:pPr>
              <w:jc w:val="center"/>
              <w:rPr>
                <w:rFonts w:ascii="Times New Roman" w:hAnsi="Times New Roman" w:eastAsia="方正黑体_GBK" w:cs="Times New Roman"/>
                <w:sz w:val="24"/>
                <w:szCs w:val="28"/>
                <w:highlight w:val="none"/>
              </w:rPr>
            </w:pPr>
            <w:r>
              <w:rPr>
                <w:rFonts w:ascii="Times New Roman" w:hAnsi="Times New Roman" w:eastAsia="方正黑体_GBK" w:cs="Times New Roman"/>
                <w:sz w:val="24"/>
                <w:szCs w:val="28"/>
                <w:highlight w:val="none"/>
              </w:rPr>
              <w:t xml:space="preserve">故障解决时间</w:t>
            </w:r>
            <w:r/>
          </w:p>
        </w:tc>
      </w:tr>
      <w:tr>
        <w:trPr>
          <w:trHeight w:val="429"/>
        </w:trPr>
        <w:tc>
          <w:tcPr>
            <w:tcW w:w="751" w:type="pct"/>
            <w:vAlign w:val="center"/>
            <w:vMerge w:val="restart"/>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一级故障</w:t>
            </w:r>
            <w:r/>
          </w:p>
        </w:tc>
        <w:tc>
          <w:tcPr>
            <w:tcW w:w="1932" w:type="pct"/>
            <w:vAlign w:val="center"/>
            <w:vMerge w:val="restart"/>
            <w:textDirection w:val="lrTb"/>
            <w:noWrap w:val="false"/>
          </w:tcPr>
          <w:p>
            <w:pP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投标人所运维的项目，出现全省系统瘫痪，或数据丢失故障。</w:t>
            </w:r>
            <w:r/>
          </w:p>
        </w:tc>
        <w:tc>
          <w:tcPr>
            <w:tcW w:w="895"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7:00-20:00</w:t>
            </w:r>
            <w:r/>
          </w:p>
        </w:tc>
        <w:tc>
          <w:tcPr>
            <w:tcW w:w="752"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3分钟</w:t>
            </w:r>
            <w:r/>
          </w:p>
        </w:tc>
        <w:tc>
          <w:tcPr>
            <w:tcW w:w="670"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15分钟</w:t>
            </w:r>
            <w:r/>
          </w:p>
        </w:tc>
      </w:tr>
      <w:tr>
        <w:trPr/>
        <w:tc>
          <w:tcPr>
            <w:tcW w:w="751" w:type="pct"/>
            <w:vAlign w:val="center"/>
            <w:vMerge w:val="continue"/>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r>
            <w:r/>
          </w:p>
        </w:tc>
        <w:tc>
          <w:tcPr>
            <w:tcW w:w="1932" w:type="pct"/>
            <w:vAlign w:val="center"/>
            <w:vMerge w:val="continue"/>
            <w:textDirection w:val="lrTb"/>
            <w:noWrap w:val="false"/>
          </w:tcPr>
          <w:p>
            <w:pP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r>
            <w:r/>
          </w:p>
        </w:tc>
        <w:tc>
          <w:tcPr>
            <w:tcW w:w="895"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20:00</w:t>
            </w:r>
            <w:r>
              <w:rPr>
                <w:rFonts w:hint="eastAsia" w:ascii="Times New Roman" w:hAnsi="Times New Roman" w:eastAsia="方正仿宋_GBK" w:cs="Times New Roman"/>
                <w:sz w:val="24"/>
                <w:szCs w:val="28"/>
                <w:highlight w:val="none"/>
              </w:rPr>
              <w:t xml:space="preserve">－</w:t>
            </w:r>
            <w:r>
              <w:rPr>
                <w:rFonts w:ascii="Times New Roman" w:hAnsi="Times New Roman" w:eastAsia="方正仿宋_GBK" w:cs="Times New Roman"/>
                <w:sz w:val="24"/>
                <w:szCs w:val="28"/>
                <w:highlight w:val="none"/>
              </w:rPr>
              <w:t xml:space="preserve">次日7:00</w:t>
            </w:r>
            <w:r/>
          </w:p>
        </w:tc>
        <w:tc>
          <w:tcPr>
            <w:tcW w:w="752"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5分钟</w:t>
            </w:r>
            <w:r/>
          </w:p>
        </w:tc>
        <w:tc>
          <w:tcPr>
            <w:tcW w:w="670"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20分钟</w:t>
            </w:r>
            <w:r/>
          </w:p>
        </w:tc>
      </w:tr>
      <w:tr>
        <w:trPr>
          <w:trHeight w:val="599"/>
        </w:trPr>
        <w:tc>
          <w:tcPr>
            <w:tcW w:w="751" w:type="pct"/>
            <w:vAlign w:val="center"/>
            <w:vMerge w:val="restart"/>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二级故障</w:t>
            </w:r>
            <w:r/>
          </w:p>
        </w:tc>
        <w:tc>
          <w:tcPr>
            <w:tcW w:w="1932" w:type="pct"/>
            <w:vAlign w:val="center"/>
            <w:vMerge w:val="restart"/>
            <w:textDirection w:val="lrTb"/>
            <w:noWrap w:val="false"/>
          </w:tcPr>
          <w:p>
            <w:pP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投标人所运维的项目，在一个及以上设区市出现系统瘫痪故障。</w:t>
            </w:r>
            <w:r/>
          </w:p>
        </w:tc>
        <w:tc>
          <w:tcPr>
            <w:tcW w:w="895"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7:00-20:00</w:t>
            </w:r>
            <w:r/>
          </w:p>
        </w:tc>
        <w:tc>
          <w:tcPr>
            <w:tcW w:w="752"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3分钟</w:t>
            </w:r>
            <w:r/>
          </w:p>
        </w:tc>
        <w:tc>
          <w:tcPr>
            <w:tcW w:w="670"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20分钟</w:t>
            </w:r>
            <w:r/>
          </w:p>
        </w:tc>
      </w:tr>
      <w:tr>
        <w:trPr/>
        <w:tc>
          <w:tcPr>
            <w:tcW w:w="751" w:type="pct"/>
            <w:vAlign w:val="center"/>
            <w:vMerge w:val="continue"/>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r>
            <w:r/>
          </w:p>
        </w:tc>
        <w:tc>
          <w:tcPr>
            <w:tcW w:w="1932" w:type="pct"/>
            <w:vAlign w:val="center"/>
            <w:vMerge w:val="continue"/>
            <w:textDirection w:val="lrTb"/>
            <w:noWrap w:val="false"/>
          </w:tcPr>
          <w:p>
            <w:pP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r>
            <w:r/>
          </w:p>
        </w:tc>
        <w:tc>
          <w:tcPr>
            <w:tcW w:w="895"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20:00</w:t>
            </w:r>
            <w:r>
              <w:rPr>
                <w:rFonts w:hint="eastAsia" w:ascii="Times New Roman" w:hAnsi="Times New Roman" w:eastAsia="方正仿宋_GBK" w:cs="Times New Roman"/>
                <w:sz w:val="24"/>
                <w:szCs w:val="28"/>
                <w:highlight w:val="none"/>
              </w:rPr>
              <w:t xml:space="preserve">－</w:t>
            </w:r>
            <w:r>
              <w:rPr>
                <w:rFonts w:ascii="Times New Roman" w:hAnsi="Times New Roman" w:eastAsia="方正仿宋_GBK" w:cs="Times New Roman"/>
                <w:sz w:val="24"/>
                <w:szCs w:val="28"/>
                <w:highlight w:val="none"/>
              </w:rPr>
              <w:t xml:space="preserve">次日7:00</w:t>
            </w:r>
            <w:r/>
          </w:p>
        </w:tc>
        <w:tc>
          <w:tcPr>
            <w:tcW w:w="752"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5分钟</w:t>
            </w:r>
            <w:r/>
          </w:p>
        </w:tc>
        <w:tc>
          <w:tcPr>
            <w:tcW w:w="670"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30分钟</w:t>
            </w:r>
            <w:r/>
          </w:p>
        </w:tc>
      </w:tr>
      <w:tr>
        <w:trPr>
          <w:trHeight w:val="449"/>
        </w:trPr>
        <w:tc>
          <w:tcPr>
            <w:tcW w:w="751" w:type="pct"/>
            <w:vAlign w:val="center"/>
            <w:vMerge w:val="restart"/>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三级故障</w:t>
            </w:r>
            <w:r/>
          </w:p>
        </w:tc>
        <w:tc>
          <w:tcPr>
            <w:tcW w:w="1932" w:type="pct"/>
            <w:vAlign w:val="center"/>
            <w:vMerge w:val="restart"/>
            <w:textDirection w:val="lrTb"/>
            <w:noWrap w:val="false"/>
          </w:tcPr>
          <w:p>
            <w:pP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投标人所运维的项目，在全省出现卡顿、延迟等运行效率下降故障。</w:t>
            </w:r>
            <w:r/>
          </w:p>
        </w:tc>
        <w:tc>
          <w:tcPr>
            <w:tcW w:w="895"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7:00-20:00</w:t>
            </w:r>
            <w:r/>
          </w:p>
        </w:tc>
        <w:tc>
          <w:tcPr>
            <w:tcW w:w="752"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3分钟</w:t>
            </w:r>
            <w:r/>
          </w:p>
        </w:tc>
        <w:tc>
          <w:tcPr>
            <w:tcW w:w="670"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30分钟</w:t>
            </w:r>
            <w:r/>
          </w:p>
        </w:tc>
      </w:tr>
      <w:tr>
        <w:trPr/>
        <w:tc>
          <w:tcPr>
            <w:tcW w:w="751" w:type="pct"/>
            <w:vAlign w:val="center"/>
            <w:vMerge w:val="continue"/>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r>
            <w:r/>
          </w:p>
        </w:tc>
        <w:tc>
          <w:tcPr>
            <w:tcW w:w="1932" w:type="pct"/>
            <w:vAlign w:val="center"/>
            <w:vMerge w:val="continue"/>
            <w:textDirection w:val="lrTb"/>
            <w:noWrap w:val="false"/>
          </w:tcPr>
          <w:p>
            <w:pP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r>
            <w:r/>
          </w:p>
        </w:tc>
        <w:tc>
          <w:tcPr>
            <w:tcW w:w="895"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20:00</w:t>
            </w:r>
            <w:r>
              <w:rPr>
                <w:rFonts w:hint="eastAsia" w:ascii="Times New Roman" w:hAnsi="Times New Roman" w:eastAsia="方正仿宋_GBK" w:cs="Times New Roman"/>
                <w:sz w:val="24"/>
                <w:szCs w:val="28"/>
                <w:highlight w:val="none"/>
              </w:rPr>
              <w:t xml:space="preserve">－</w:t>
            </w:r>
            <w:r>
              <w:rPr>
                <w:rFonts w:ascii="Times New Roman" w:hAnsi="Times New Roman" w:eastAsia="方正仿宋_GBK" w:cs="Times New Roman"/>
                <w:sz w:val="24"/>
                <w:szCs w:val="28"/>
                <w:highlight w:val="none"/>
              </w:rPr>
              <w:t xml:space="preserve">次日7:00</w:t>
            </w:r>
            <w:r/>
          </w:p>
        </w:tc>
        <w:tc>
          <w:tcPr>
            <w:tcW w:w="752"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5分钟</w:t>
            </w:r>
            <w:r/>
          </w:p>
        </w:tc>
        <w:tc>
          <w:tcPr>
            <w:tcW w:w="670"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1小时</w:t>
            </w:r>
            <w:r/>
          </w:p>
        </w:tc>
      </w:tr>
      <w:tr>
        <w:trPr>
          <w:trHeight w:val="467"/>
        </w:trPr>
        <w:tc>
          <w:tcPr>
            <w:tcW w:w="751" w:type="pct"/>
            <w:vAlign w:val="center"/>
            <w:vMerge w:val="restart"/>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四级故障</w:t>
            </w:r>
            <w:r/>
          </w:p>
        </w:tc>
        <w:tc>
          <w:tcPr>
            <w:tcW w:w="1932" w:type="pct"/>
            <w:vAlign w:val="center"/>
            <w:vMerge w:val="restart"/>
            <w:textDirection w:val="lrTb"/>
            <w:noWrap w:val="false"/>
          </w:tcPr>
          <w:p>
            <w:pP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投标人所运维的项目，在一个及以上设区市出现卡顿、延迟等运行效率下降故障。</w:t>
            </w:r>
            <w:r/>
          </w:p>
        </w:tc>
        <w:tc>
          <w:tcPr>
            <w:tcW w:w="895"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7:00-20:00</w:t>
            </w:r>
            <w:r/>
          </w:p>
        </w:tc>
        <w:tc>
          <w:tcPr>
            <w:tcW w:w="752"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3分钟</w:t>
            </w:r>
            <w:r/>
          </w:p>
        </w:tc>
        <w:tc>
          <w:tcPr>
            <w:tcW w:w="670"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30分钟</w:t>
            </w:r>
            <w:r/>
          </w:p>
        </w:tc>
      </w:tr>
      <w:tr>
        <w:trPr/>
        <w:tc>
          <w:tcPr>
            <w:tcW w:w="751" w:type="pct"/>
            <w:vAlign w:val="center"/>
            <w:vMerge w:val="continue"/>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r>
            <w:r/>
          </w:p>
        </w:tc>
        <w:tc>
          <w:tcPr>
            <w:tcW w:w="1932" w:type="pct"/>
            <w:vAlign w:val="center"/>
            <w:vMerge w:val="continue"/>
            <w:textDirection w:val="lrTb"/>
            <w:noWrap w:val="false"/>
          </w:tcPr>
          <w:p>
            <w:pP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r>
            <w:r/>
          </w:p>
        </w:tc>
        <w:tc>
          <w:tcPr>
            <w:tcW w:w="895"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20:00</w:t>
            </w:r>
            <w:r>
              <w:rPr>
                <w:rFonts w:hint="eastAsia" w:ascii="Times New Roman" w:hAnsi="Times New Roman" w:eastAsia="方正仿宋_GBK" w:cs="Times New Roman"/>
                <w:sz w:val="24"/>
                <w:szCs w:val="28"/>
                <w:highlight w:val="none"/>
              </w:rPr>
              <w:t xml:space="preserve">－</w:t>
            </w:r>
            <w:r>
              <w:rPr>
                <w:rFonts w:ascii="Times New Roman" w:hAnsi="Times New Roman" w:eastAsia="方正仿宋_GBK" w:cs="Times New Roman"/>
                <w:sz w:val="24"/>
                <w:szCs w:val="28"/>
                <w:highlight w:val="none"/>
              </w:rPr>
              <w:t xml:space="preserve">次日7:00</w:t>
            </w:r>
            <w:r/>
          </w:p>
        </w:tc>
        <w:tc>
          <w:tcPr>
            <w:tcW w:w="752"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5分钟</w:t>
            </w:r>
            <w:r/>
          </w:p>
        </w:tc>
        <w:tc>
          <w:tcPr>
            <w:tcW w:w="670" w:type="pct"/>
            <w:vAlign w:val="center"/>
            <w:textDirection w:val="lrTb"/>
            <w:noWrap w:val="false"/>
          </w:tcPr>
          <w:p>
            <w:pPr>
              <w:jc w:val="center"/>
              <w:rPr>
                <w:rFonts w:ascii="Times New Roman" w:hAnsi="Times New Roman" w:eastAsia="方正仿宋_GBK" w:cs="Times New Roman"/>
                <w:sz w:val="24"/>
                <w:szCs w:val="28"/>
                <w:highlight w:val="none"/>
              </w:rPr>
            </w:pPr>
            <w:r>
              <w:rPr>
                <w:rFonts w:ascii="Times New Roman" w:hAnsi="Times New Roman" w:eastAsia="方正仿宋_GBK" w:cs="Times New Roman"/>
                <w:sz w:val="24"/>
                <w:szCs w:val="28"/>
                <w:highlight w:val="none"/>
              </w:rPr>
              <w:t xml:space="preserve">1.5小时</w:t>
            </w:r>
            <w:r/>
          </w:p>
        </w:tc>
      </w:tr>
    </w:tbl>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运维人员在解决故障时，要最大限度保护数据，将系统恢复到故障点前的业务状态，同时做好故障恢复文档记录。对于一级故障，如果不能在20分钟内解决故障，要启动应急预案，并在故障解决后24小时内，提交故障处理报告，说明故障种类、故障原因、故障解决中使用的方法及故障损失等，并梳理形成详细运维服务文档，方便分析问题，保证工作交接延续性。</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因系统漏洞、运行监控和风险排查不到位、运维人员操作不当等供应商原因，引发系统故障且未在故障解决时限内完成处理的，将按照故障等级在服务项目验收综合考核评价中扣分，扣分标准详见“项目验收及综合考评评价要求”章节。</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八</w:t>
      </w:r>
      <w:r>
        <w:rPr>
          <w:rFonts w:ascii="Times New Roman" w:hAnsi="Times New Roman" w:eastAsia="方正黑体_GBK" w:cs="Times New Roman"/>
          <w:sz w:val="32"/>
          <w:szCs w:val="32"/>
          <w:highlight w:val="none"/>
        </w:rPr>
        <w:t xml:space="preserve">、项目验收及综合考评评价要求</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1.供应商应接受采购人及采购人指定的总集服务团队对其提出的监督管理、人员调度、任务分派、考核评价等方面要求，严格按照全省医保信息平台相关运维管理规范开展运维服务。采购人有权组织设区市医保局、经办机构、定点医药机构等服务对象，对运维服务内容、质量和效果进行验收，包括签订合同后服务满12个月的阶段性验收以及服务期满后的最终验收</w:t>
      </w:r>
      <w:r>
        <w:rPr>
          <w:rFonts w:hint="eastAsia" w:ascii="Times New Roman" w:hAnsi="Times New Roman" w:eastAsia="方正仿宋_GBK" w:cs="Times New Roman"/>
          <w:sz w:val="32"/>
          <w:szCs w:val="32"/>
          <w:highlight w:val="none"/>
        </w:rPr>
        <w:t xml:space="preserve">。</w:t>
      </w:r>
      <w:r>
        <w:rPr>
          <w:rFonts w:ascii="Times New Roman" w:hAnsi="Times New Roman" w:eastAsia="方正仿宋_GBK" w:cs="Times New Roman"/>
          <w:sz w:val="32"/>
          <w:szCs w:val="32"/>
          <w:highlight w:val="none"/>
        </w:rPr>
        <w:t xml:space="preserve">采购人在验收的同时可以根据招投标文件及合同的约定进行综合考核评价，包括但不限于运维人员数量、资质、能力，运维服务规范性、全面性、专业性、时效性、安全性，运维文档规范性、准确性、完整性等方面。</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2.采购人在组织履约验收前，将根据项目特点制定验收方案，明确履约验收的时间、方式、程序等内容，并可根据项目特点对服务期内的服务实施情况进行分期综合考核，对综合考核情况及服务效果进行验收。供应商应根据验收方案内容做好相应配合工作。</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3.对于实际使用人和采购人分离的项目，采购人有权邀请实际使用人参与验收和综合考核评价。</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4.如有必要，采购人有权邀请参加江苏省医疗保障信息平台建设的其他承建厂商或第三方专业机构及专家参与验收和综合考核评价。</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5.供应商应在验收时间到达后主动向采购人提供相应服务期内的项目维护报告和文档，采购人在收到上述材料后五个工作</w:t>
      </w:r>
      <w:r>
        <w:rPr>
          <w:rFonts w:hint="eastAsia" w:ascii="Times New Roman" w:hAnsi="Times New Roman" w:eastAsia="方正仿宋_GBK" w:cs="Times New Roman"/>
          <w:sz w:val="32"/>
          <w:szCs w:val="32"/>
          <w:highlight w:val="none"/>
        </w:rPr>
        <w:t xml:space="preserve">日内</w:t>
      </w:r>
      <w:r>
        <w:rPr>
          <w:rFonts w:ascii="Times New Roman" w:hAnsi="Times New Roman" w:eastAsia="方正仿宋_GBK" w:cs="Times New Roman"/>
          <w:sz w:val="32"/>
          <w:szCs w:val="32"/>
          <w:highlight w:val="none"/>
        </w:rPr>
        <w:t xml:space="preserve">成立验收小组，并按照招投标文件及合同约定对供应商的履约情况进行验收。验收时，采购人有权按照招投标文件及合同约定对每一项技术、服务、安全标准的履约情况进行确认。</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6.采购人验收小组应于验收结束后3个工作日内出具验收书，列明各项标准的验收情况及项目总体评价，由验收双方共同签署。如采购人未在上述期内验收且未就供应商服务质量提出书面异议，视为验收合格。</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7.验收结果与招投标文件及合同约定的合同价款支付条件挂钩，履约验收的各项资料存档备查。验收合格的项目，采购人根据合同的约定及时向供应商支付合同款项。验收不合格的项目，供应商应在采购人要求的期限内进行整改。</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8.供应商在履约过程中出现政府采购法律法规规定的违法违规情形的，采购人将及时报告本级财政部门。</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九、商务条款</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（一）服务期</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项目服务期：自合同签订之日起2年</w:t>
      </w:r>
      <w:r>
        <w:rPr>
          <w:rFonts w:ascii="Times New Roman" w:hAnsi="Times New Roman" w:eastAsia="方正仿宋_GBK" w:cs="Times New Roman"/>
          <w:sz w:val="32"/>
          <w:szCs w:val="32"/>
          <w:highlight w:val="none"/>
        </w:rPr>
        <w:t xml:space="preserve">。</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（二）预算说明</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项目预算包含投标人开展本项目工作所需一切费用。</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（三）款项支付</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1.签订合同且本项目所需的全部</w:t>
      </w:r>
      <w:r>
        <w:rPr>
          <w:rFonts w:hint="eastAsia" w:ascii="Times New Roman" w:hAnsi="Times New Roman" w:eastAsia="方正仿宋_GBK" w:cs="Times New Roman"/>
          <w:sz w:val="32"/>
          <w:szCs w:val="32"/>
          <w:highlight w:val="none"/>
        </w:rPr>
        <w:t xml:space="preserve">服务</w:t>
      </w:r>
      <w:r>
        <w:rPr>
          <w:rFonts w:ascii="Times New Roman" w:hAnsi="Times New Roman" w:eastAsia="方正仿宋_GBK" w:cs="Times New Roman"/>
          <w:sz w:val="32"/>
          <w:szCs w:val="32"/>
          <w:highlight w:val="none"/>
        </w:rPr>
        <w:t xml:space="preserve">人员进场后，采购人向供应商支付合同总价</w:t>
      </w:r>
      <w:r>
        <w:rPr>
          <w:rFonts w:hint="eastAsia" w:ascii="Times New Roman" w:hAnsi="Times New Roman" w:eastAsia="方正仿宋_GBK" w:cs="Times New Roman"/>
          <w:sz w:val="32"/>
          <w:szCs w:val="32"/>
          <w:highlight w:val="none"/>
        </w:rPr>
        <w:t xml:space="preserve">30</w:t>
      </w:r>
      <w:r>
        <w:rPr>
          <w:rFonts w:ascii="Times New Roman" w:hAnsi="Times New Roman" w:eastAsia="方正仿宋_GBK" w:cs="Times New Roman"/>
          <w:sz w:val="32"/>
          <w:szCs w:val="32"/>
          <w:highlight w:val="none"/>
        </w:rPr>
        <w:t xml:space="preserve">%；</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2.签订合同后服务满12个月，采购人或其委托人组织对项目服务内容、质量和效果进行阶段性验收，</w:t>
      </w:r>
      <w:r>
        <w:rPr>
          <w:rFonts w:ascii="Times New Roman" w:hAnsi="Times New Roman" w:eastAsia="方正仿宋_GBK" w:cs="Times New Roman"/>
          <w:sz w:val="32"/>
          <w:szCs w:val="32"/>
          <w:highlight w:val="none"/>
        </w:rPr>
        <w:t xml:space="preserve">并根据项目绩效考核评分细则形成考核评价分数</w:t>
      </w:r>
      <w:r>
        <w:rPr>
          <w:rFonts w:hint="eastAsia" w:ascii="Times New Roman" w:hAnsi="Times New Roman" w:eastAsia="方正仿宋_GBK" w:cs="Times New Roman"/>
          <w:sz w:val="32"/>
          <w:szCs w:val="32"/>
          <w:highlight w:val="none"/>
        </w:rPr>
        <w:t xml:space="preserve">。采购人应在供应商考核评价分数出具后支付该阶段的合同价款，如果供应商考核评价分数为100分的，采购人应自供应商考核评价分数出具后支付合同总价款的30%，如果供应商考核评价分数不足100分的，采购人有权按约定在合同总价款30%的基础上减值支付合同价款且扣除的合同价款后期不再支付，供应商不得持任何异议，具体支付方式如下：</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考核评价得分在90分（含）以上，且供应商对存在问题通过改进和完善完全达到合同约定标准，采购人应自供应商将全部问题改进和完善且得到采购人确认后支付合同总价款的30%，如果供应商未能将全部问题改进和完善的，采购人有权减值支付，采购人有权根据实际情况自主决定减值金额；</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考核评价得分在80分（含）至90分之间，采购人有权减值支付该节点的合同款项，减值金额原则上为（90－考核评价得分）×1%×合同总价，但采购人有权视供应商对其存在问题整改情况合理调整减值金额，供应商应予接受；</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考核评价得分在75分（含）至80分之间，采购人有权减值支付该节点的合同款项，减值金额原则上为〔（80－考核评价得分）×2%+10%〕×合同总价，但采购人有权视供应商对其存在问题整改情况合理调整减值金额，供应商应予接受；</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4）考核评价得分在75分以下，该节点合同款项原则上不予支付，采购人有权选择解除合同或继续履行合同，如果采购人选择继续履行合同的，供应商应在采购人要求的期限内进行整改，如果供应商整改后重新考核评价在75分（含）以上的，采购人有权减值支付该节点合同款项，但减值金额由采购人根据实际情况自行确定，供应商应予接受。</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3.服务期满后，采购人或其委托人组织对项目服务内容、质量和效果进行最终验收，</w:t>
      </w:r>
      <w:r>
        <w:rPr>
          <w:rFonts w:ascii="Times New Roman" w:hAnsi="Times New Roman" w:eastAsia="方正仿宋_GBK" w:cs="Times New Roman"/>
          <w:sz w:val="32"/>
          <w:szCs w:val="32"/>
          <w:highlight w:val="none"/>
        </w:rPr>
        <w:t xml:space="preserve">并根据项目绩效考核评分细则形成考核评价分数</w:t>
      </w:r>
      <w:r>
        <w:rPr>
          <w:rFonts w:hint="eastAsia" w:ascii="Times New Roman" w:hAnsi="Times New Roman" w:eastAsia="方正仿宋_GBK" w:cs="Times New Roman"/>
          <w:sz w:val="32"/>
          <w:szCs w:val="32"/>
          <w:highlight w:val="none"/>
        </w:rPr>
        <w:t xml:space="preserve">。采购人应在供应商考核评价分数出具后支付该阶段的合同价款，如果供应商考核评价分数为100分的，采购人应自供应商考核评价分数出具后支付合同总价款的40%，如果供应商考核评价分数不足100分的，采购人有权按约定在合同总价款40%的基础上减值支付合同价款且扣除的合同价款后期不再支付，供应商不得持任何异议，具体支付方式如下：</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考核评价得分在90分（含）以上，且供应商对存在问题通过改进和完善完全达到合同约定标准，采购人应自供应商将全部问题改进和完善且得到采购人确认后支付合同总价款的40%，如果供应商未能将全部问题改进和完善的，采购人有权减值支付，采购人有权根据实际情况自主决定减值金额；</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考核评价得分在80分（含）至90分之间，采购人有权减值支付该节点的合同款项，减值金额原则上为（90－考核评价得分）×1%×合同总价，但采购人有权视供应商对其存在问题整改情况合理调整减值金额，供应商应予接受；</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3）考核评价得分在75分（含）至80分之间，采购人有权减值支付该节点的合同款项，减值金额原则上为〔（80－考核评价得分）×2%+10%〕×合同总价，但采购人有权视供应商对其存在问题整改情况合理调整减值金额，供应商应予接受；</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4）考核评价得分在75分以下，采购人有权选择解除合同或继续履行合同，如果采购人选择继续履行合同的，供应商应在采购人要求的期限内进行整改，如果供应商整改后重新考核评价在75分（含）以上的，采购人有权减值支付该节点合同款项，但减值金额由采购人根据实际情况自行确定，供应商应予接受。</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4.每次付款前，供应商应提前向采购人开具等额增值税发票，采购人在收到供应商发票后1个月内支付相应款项，采购人未收到开票或供应商开具发票不合格的，有权拒绝付款。</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（四）履约保证金</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本项目履约保证金为合同总价的5%，中标人应在合同签订前以电子履约保函（保险）的形式提交给采购人，中标人未缴纳履约保证金的，采购人有权拒绝签订书面合同。</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在项目服务期满，且中标人无任何违约责任的情况下退还（不计息）。如中标人违反合同规定，采购人有权根据合同条款从履约保证金中扣除相应的违约金额。中标人因自身原因未能完全履行合同的，履约保证金不予退回。</w:t>
      </w:r>
      <w:r/>
    </w:p>
    <w:p>
      <w:pPr>
        <w:ind w:firstLine="640"/>
        <w:keepLines/>
        <w:keepNext/>
        <w:spacing w:line="580" w:lineRule="exact"/>
        <w:rPr>
          <w:rFonts w:ascii="Times New Roman" w:hAnsi="Times New Roman" w:eastAsia="方正楷体_GBK" w:cs="Times New Roman"/>
          <w:bCs/>
          <w:sz w:val="32"/>
          <w:szCs w:val="32"/>
          <w:highlight w:val="none"/>
        </w:rPr>
        <w:outlineLvl w:val="1"/>
      </w:pPr>
      <w:r>
        <w:rPr>
          <w:rFonts w:hint="eastAsia" w:ascii="Times New Roman" w:hAnsi="Times New Roman" w:eastAsia="方正楷体_GBK" w:cs="Times New Roman"/>
          <w:bCs/>
          <w:sz w:val="32"/>
          <w:szCs w:val="32"/>
          <w:highlight w:val="none"/>
        </w:rPr>
        <w:t xml:space="preserve">（五）投标货币</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人民币。</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十、保密要求</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1.</w:t>
      </w:r>
      <w:r>
        <w:rPr>
          <w:rFonts w:ascii="Times New Roman" w:hAnsi="Times New Roman" w:eastAsia="方正仿宋_GBK" w:cs="Times New Roman"/>
          <w:sz w:val="32"/>
          <w:szCs w:val="32"/>
          <w:highlight w:val="none"/>
        </w:rPr>
        <w:t xml:space="preserve">投标人</w:t>
      </w:r>
      <w:r>
        <w:rPr>
          <w:rFonts w:hint="eastAsia" w:ascii="Times New Roman" w:hAnsi="Times New Roman" w:eastAsia="方正仿宋_GBK" w:cs="Times New Roman"/>
          <w:sz w:val="32"/>
          <w:szCs w:val="32"/>
          <w:highlight w:val="none"/>
        </w:rPr>
        <w:t xml:space="preserve">须对本项目技术文件、采购人提供的所有内部资料、技术文档、系统数据（包含原始数据和衍生数据）和信息予以保密。</w:t>
      </w:r>
      <w:r>
        <w:rPr>
          <w:rFonts w:ascii="Times New Roman" w:hAnsi="Times New Roman" w:eastAsia="方正仿宋_GBK" w:cs="Times New Roman"/>
          <w:sz w:val="32"/>
          <w:szCs w:val="32"/>
          <w:highlight w:val="none"/>
        </w:rPr>
        <w:t xml:space="preserve">投标人</w:t>
      </w:r>
      <w:r>
        <w:rPr>
          <w:rFonts w:hint="eastAsia" w:ascii="Times New Roman" w:hAnsi="Times New Roman" w:eastAsia="方正仿宋_GBK" w:cs="Times New Roman"/>
          <w:sz w:val="32"/>
          <w:szCs w:val="32"/>
          <w:highlight w:val="none"/>
        </w:rPr>
        <w:t xml:space="preserve">必须与采购人签订保密协议和外包网络安全协议，并严格遵守。</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2.</w:t>
      </w:r>
      <w:r>
        <w:rPr>
          <w:rFonts w:ascii="Times New Roman" w:hAnsi="Times New Roman" w:eastAsia="方正仿宋_GBK" w:cs="Times New Roman"/>
          <w:sz w:val="32"/>
          <w:szCs w:val="32"/>
          <w:highlight w:val="none"/>
        </w:rPr>
        <w:t xml:space="preserve">投标人</w:t>
      </w:r>
      <w:r>
        <w:rPr>
          <w:rFonts w:hint="eastAsia" w:ascii="Times New Roman" w:hAnsi="Times New Roman" w:eastAsia="方正仿宋_GBK" w:cs="Times New Roman"/>
          <w:sz w:val="32"/>
          <w:szCs w:val="32"/>
          <w:highlight w:val="none"/>
        </w:rPr>
        <w:t xml:space="preserve">提供的项目实施团队和运维团队成员须签订保密承诺书，承诺内容需得到采购人认可，并与保密协议和外包网络安全协议一并提交给采购人。</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十一、违约责任</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1.如果因供应商原因，导致医保信息平台发生运行故障或医保数据泄露，只要供应商一旦发生上述情形且不管持续时间长短，供应商应支付合同总价款10%的违约金，违约金不足以弥补损失的（包括给采购人及其他第三人造成的损失），采购人有权要求供应商按照实际损失赔偿；供应商在服务期内连续两次发生一级故障或引发重大社会舆情的严重网络安全事件的，采购人有权解除合同，供应商应向采购人支付合同总价款</w:t>
      </w:r>
      <w:r>
        <w:rPr>
          <w:rFonts w:hint="eastAsia" w:ascii="Times New Roman" w:hAnsi="Times New Roman" w:eastAsia="方正仿宋_GBK" w:cs="Times New Roman"/>
          <w:sz w:val="32"/>
          <w:szCs w:val="32"/>
          <w:highlight w:val="none"/>
        </w:rPr>
        <w:t xml:space="preserve">3</w:t>
      </w:r>
      <w:r>
        <w:rPr>
          <w:rFonts w:ascii="Times New Roman" w:hAnsi="Times New Roman" w:eastAsia="方正仿宋_GBK" w:cs="Times New Roman"/>
          <w:sz w:val="32"/>
          <w:szCs w:val="32"/>
          <w:highlight w:val="none"/>
        </w:rPr>
        <w:t xml:space="preserve">0%的解除合同违约金，违约金不足以弥补损失的，采购人有权要求供应商按照实际损失赔偿。</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2.根据商务条款要求，供应商考核评价得分在75分以下，且采购人直接解除合同的，供应商应向采购人支付合同总价款</w:t>
      </w:r>
      <w:r>
        <w:rPr>
          <w:rFonts w:hint="eastAsia" w:ascii="Times New Roman" w:hAnsi="Times New Roman" w:eastAsia="方正仿宋_GBK" w:cs="Times New Roman"/>
          <w:sz w:val="32"/>
          <w:szCs w:val="32"/>
          <w:highlight w:val="none"/>
        </w:rPr>
        <w:t xml:space="preserve">3</w:t>
      </w:r>
      <w:r>
        <w:rPr>
          <w:rFonts w:ascii="Times New Roman" w:hAnsi="Times New Roman" w:eastAsia="方正仿宋_GBK" w:cs="Times New Roman"/>
          <w:sz w:val="32"/>
          <w:szCs w:val="32"/>
          <w:highlight w:val="none"/>
        </w:rPr>
        <w:t xml:space="preserve">0%的解除合同违约金，违约金不足以弥补损失的，采购人有权要求供应商按照实际损失赔偿。</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3.如果供应商未足额提供运维人员，或未经采购人许可更换运维人员，且在采购人发出书面整改通知之后10个工作日未完成整改的，采购人有权解除合同，供应商应向采购人支付合同总价款</w:t>
      </w:r>
      <w:r>
        <w:rPr>
          <w:rFonts w:hint="eastAsia" w:ascii="Times New Roman" w:hAnsi="Times New Roman" w:eastAsia="方正仿宋_GBK" w:cs="Times New Roman"/>
          <w:sz w:val="32"/>
          <w:szCs w:val="32"/>
          <w:highlight w:val="none"/>
        </w:rPr>
        <w:t xml:space="preserve">3</w:t>
      </w:r>
      <w:r>
        <w:rPr>
          <w:rFonts w:ascii="Times New Roman" w:hAnsi="Times New Roman" w:eastAsia="方正仿宋_GBK" w:cs="Times New Roman"/>
          <w:sz w:val="32"/>
          <w:szCs w:val="32"/>
          <w:highlight w:val="none"/>
        </w:rPr>
        <w:t xml:space="preserve">0%的解除合同违约金，违约金不足以弥补损失的，采购人有权要求供应商按照实际损失赔偿。</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4.合同履行期限内，任何一方不得随意终止或解除合同。一方需要终止或解除合同的，应提前30天通知对方，并获得对方书面同意。如果一方未经另一方允许擅自终止或解除合同，违约方应向守约方支付合同总价款</w:t>
      </w:r>
      <w:r>
        <w:rPr>
          <w:rFonts w:hint="eastAsia" w:ascii="Times New Roman" w:hAnsi="Times New Roman" w:eastAsia="方正仿宋_GBK" w:cs="Times New Roman"/>
          <w:sz w:val="32"/>
          <w:szCs w:val="32"/>
          <w:highlight w:val="none"/>
        </w:rPr>
        <w:t xml:space="preserve">3</w:t>
      </w:r>
      <w:r>
        <w:rPr>
          <w:rFonts w:ascii="Times New Roman" w:hAnsi="Times New Roman" w:eastAsia="方正仿宋_GBK" w:cs="Times New Roman"/>
          <w:sz w:val="32"/>
          <w:szCs w:val="32"/>
          <w:highlight w:val="none"/>
        </w:rPr>
        <w:t xml:space="preserve">0%的解除合同违约金，违约金不足以弥补损失的，守约方有权要求违约方按照实际损失赔偿。</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5.合同履行期内，除本合同约定外，供应商发生其他违反招投标文件、合同约定的情形的，每发生一次，供应商应支付合同总价款5%的违约金，违约金不足以弥补损失的，采购人有权要求供应商按照实际损失赔偿；供应商累计发生超过三次的，采购人有权解除合同，供应商应向采购人支付合同总价款</w:t>
      </w:r>
      <w:r>
        <w:rPr>
          <w:rFonts w:hint="eastAsia" w:ascii="Times New Roman" w:hAnsi="Times New Roman" w:eastAsia="方正仿宋_GBK" w:cs="Times New Roman"/>
          <w:sz w:val="32"/>
          <w:szCs w:val="32"/>
          <w:highlight w:val="none"/>
        </w:rPr>
        <w:t xml:space="preserve">3</w:t>
      </w:r>
      <w:r>
        <w:rPr>
          <w:rFonts w:ascii="Times New Roman" w:hAnsi="Times New Roman" w:eastAsia="方正仿宋_GBK" w:cs="Times New Roman"/>
          <w:sz w:val="32"/>
          <w:szCs w:val="32"/>
          <w:highlight w:val="none"/>
        </w:rPr>
        <w:t xml:space="preserve">0%的解除合同违约金，违约金不足以弥补损失的，采购人有权要求供应商按照实际损失赔偿。</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6.如果供应商未经采购人书面同意，将合同项下的权利义务全部或部分转让给第三方的，采购人有权解除合同，供应商应向采购人支付合同总价款</w:t>
      </w:r>
      <w:r>
        <w:rPr>
          <w:rFonts w:hint="eastAsia" w:ascii="Times New Roman" w:hAnsi="Times New Roman" w:eastAsia="方正仿宋_GBK" w:cs="Times New Roman"/>
          <w:sz w:val="32"/>
          <w:szCs w:val="32"/>
          <w:highlight w:val="none"/>
        </w:rPr>
        <w:t xml:space="preserve">3</w:t>
      </w:r>
      <w:r>
        <w:rPr>
          <w:rFonts w:ascii="Times New Roman" w:hAnsi="Times New Roman" w:eastAsia="方正仿宋_GBK" w:cs="Times New Roman"/>
          <w:sz w:val="32"/>
          <w:szCs w:val="32"/>
          <w:highlight w:val="none"/>
        </w:rPr>
        <w:t xml:space="preserve">0%的解除合同违约金，违约金不足以弥补损失的，采购人有权要求供应商按照实际损失赔偿。</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7.供应商在提供服务时，如果造成采购人财产、采购人人员人身财产损失的，由供应商负责赔偿。</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8.供应商在提供服务时，应对自身人员的安全负责，供应商人员发生的人身财产损失与采购人无关。</w:t>
      </w:r>
      <w:r/>
    </w:p>
    <w:p>
      <w:pPr>
        <w:ind w:firstLine="640"/>
        <w:spacing w:line="560" w:lineRule="exact"/>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9.如果因供应商原因（包括但不限于供应商提供的服务不当、供应商违约等）造成第三人人身财产损失的，供应商除按本合同约定向采购人支付违约赔偿金外，还应赔偿第三人因此造成的损失。</w:t>
      </w:r>
      <w:r/>
    </w:p>
    <w:p>
      <w:pPr>
        <w:ind w:firstLine="640"/>
        <w:spacing w:line="560" w:lineRule="exact"/>
        <w:rPr>
          <w:rFonts w:ascii="Times New Roman" w:hAnsi="Times New Roman" w:cs="Times New Roman" w:eastAsiaTheme="minorEastAsia"/>
          <w:szCs w:val="24"/>
          <w:highlight w:val="none"/>
        </w:rPr>
      </w:pPr>
      <w:r>
        <w:rPr>
          <w:rFonts w:ascii="Times New Roman" w:hAnsi="Times New Roman" w:eastAsia="方正仿宋_GBK" w:cs="Times New Roman"/>
          <w:sz w:val="32"/>
          <w:szCs w:val="32"/>
          <w:highlight w:val="none"/>
        </w:rPr>
        <w:t xml:space="preserve">10.因一方违约产生的费用，包括但不限于律师费、差旅费、诉讼费、保全费、执行费、诉讼财产保全责任险费、执行费等，由败诉方全额承担。</w:t>
      </w:r>
      <w:r/>
    </w:p>
    <w:p>
      <w:pPr>
        <w:ind w:firstLine="640"/>
        <w:keepLines/>
        <w:keepNext/>
        <w:spacing w:line="580" w:lineRule="exact"/>
        <w:rPr>
          <w:rFonts w:ascii="Times New Roman" w:hAnsi="Times New Roman" w:eastAsia="方正黑体_GBK" w:cs="Times New Roman"/>
          <w:sz w:val="32"/>
          <w:szCs w:val="32"/>
          <w:highlight w:val="none"/>
        </w:rPr>
        <w:outlineLvl w:val="0"/>
      </w:pPr>
      <w:r>
        <w:rPr>
          <w:rFonts w:hint="eastAsia" w:ascii="Times New Roman" w:hAnsi="Times New Roman" w:eastAsia="方正黑体_GBK" w:cs="Times New Roman"/>
          <w:sz w:val="32"/>
          <w:szCs w:val="32"/>
          <w:highlight w:val="none"/>
        </w:rPr>
        <w:t xml:space="preserve">十二、其他要求</w:t>
      </w:r>
      <w:r/>
    </w:p>
    <w:p>
      <w:pPr>
        <w:ind w:firstLine="640"/>
        <w:spacing w:line="560" w:lineRule="exact"/>
        <w:rPr>
          <w:rFonts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rPr>
        <w:t xml:space="preserve">本项目不接受进口产品投标。</w:t>
      </w:r>
      <w:r/>
    </w:p>
    <w:p>
      <w:pPr>
        <w:jc w:val="left"/>
        <w:widowControl/>
        <w:rPr>
          <w:rFonts w:ascii="Times New Roman" w:hAnsi="Times New Roman" w:eastAsia="方正黑体_GBK" w:cs="Times New Roman"/>
          <w:sz w:val="32"/>
          <w:szCs w:val="32"/>
          <w:highlight w:val="none"/>
        </w:rPr>
      </w:pPr>
      <w:r>
        <w:rPr>
          <w:rFonts w:ascii="Times New Roman" w:hAnsi="Times New Roman" w:eastAsia="方正黑体_GBK" w:cs="Times New Roman"/>
          <w:sz w:val="32"/>
          <w:szCs w:val="32"/>
          <w:highlight w:val="none"/>
        </w:rPr>
        <w:br w:type="page" w:clear="all"/>
      </w:r>
      <w:r/>
    </w:p>
    <w:p>
      <w:pPr>
        <w:jc w:val="center"/>
        <w:keepLines/>
        <w:keepNext/>
        <w:spacing w:before="240" w:after="240" w:line="360" w:lineRule="auto"/>
        <w:rPr>
          <w:rFonts w:ascii="黑体" w:eastAsia="黑体" w:cs="黑体"/>
          <w:sz w:val="36"/>
          <w:szCs w:val="36"/>
          <w:highlight w:val="none"/>
          <w:lang w:val="zh-TW" w:eastAsia="zh-TW"/>
        </w:rPr>
        <w:outlineLvl w:val="0"/>
      </w:pPr>
      <w:r>
        <w:rPr>
          <w:rFonts w:ascii="黑体" w:eastAsia="黑体" w:cs="黑体"/>
          <w:sz w:val="36"/>
          <w:szCs w:val="36"/>
          <w:highlight w:val="none"/>
          <w:lang w:val="zh-TW" w:eastAsia="zh-TW"/>
        </w:rPr>
        <w:t xml:space="preserve">第</w:t>
      </w:r>
      <w:r>
        <w:rPr>
          <w:rFonts w:hint="eastAsia" w:ascii="黑体" w:eastAsia="黑体" w:cs="黑体"/>
          <w:sz w:val="36"/>
          <w:szCs w:val="36"/>
          <w:highlight w:val="none"/>
          <w:lang w:val="zh-TW" w:eastAsia="zh-TW"/>
        </w:rPr>
        <w:t xml:space="preserve">五</w:t>
      </w:r>
      <w:r>
        <w:rPr>
          <w:rFonts w:ascii="黑体" w:eastAsia="黑体" w:cs="黑体"/>
          <w:sz w:val="36"/>
          <w:szCs w:val="36"/>
          <w:highlight w:val="none"/>
          <w:lang w:val="zh-TW" w:eastAsia="zh-TW"/>
        </w:rPr>
        <w:t xml:space="preserve">章  </w:t>
      </w:r>
      <w:r>
        <w:rPr>
          <w:rFonts w:hint="eastAsia" w:ascii="黑体" w:eastAsia="黑体" w:cs="黑体"/>
          <w:sz w:val="36"/>
          <w:szCs w:val="36"/>
          <w:highlight w:val="none"/>
          <w:lang w:val="zh-TW" w:eastAsia="zh-TW"/>
        </w:rPr>
        <w:t xml:space="preserve">评标方法与评标标准</w:t>
      </w:r>
      <w:bookmarkEnd w:id="14"/>
      <w:r/>
      <w:r/>
    </w:p>
    <w:p>
      <w:pPr>
        <w:ind w:firstLine="482"/>
        <w:spacing w:line="360" w:lineRule="auto"/>
        <w:rPr>
          <w:rFonts w:ascii="宋体"/>
          <w:b/>
          <w:sz w:val="24"/>
          <w:szCs w:val="24"/>
          <w:highlight w:val="none"/>
        </w:rPr>
      </w:pPr>
      <w:r>
        <w:rPr>
          <w:rFonts w:hint="eastAsia" w:ascii="宋体"/>
          <w:b/>
          <w:sz w:val="24"/>
          <w:szCs w:val="24"/>
          <w:highlight w:val="none"/>
        </w:rPr>
        <w:t xml:space="preserve">一</w:t>
      </w:r>
      <w:r>
        <w:rPr>
          <w:rFonts w:ascii="宋体"/>
          <w:b/>
          <w:sz w:val="24"/>
          <w:szCs w:val="24"/>
          <w:highlight w:val="none"/>
        </w:rPr>
        <w:t xml:space="preserve">、评标方法与定标原则</w:t>
      </w:r>
      <w:r/>
    </w:p>
    <w:p>
      <w:pPr>
        <w:ind w:firstLine="480"/>
        <w:spacing w:line="360" w:lineRule="auto"/>
        <w:rPr>
          <w:rFonts w:ascii="宋体"/>
          <w:bCs/>
          <w:sz w:val="24"/>
          <w:szCs w:val="24"/>
          <w:highlight w:val="none"/>
        </w:rPr>
      </w:pPr>
      <w:r>
        <w:rPr>
          <w:rFonts w:hint="eastAsia" w:ascii="宋体"/>
          <w:bCs/>
          <w:sz w:val="24"/>
          <w:szCs w:val="24"/>
          <w:highlight w:val="none"/>
        </w:rPr>
        <w:t xml:space="preserve">评标委员会将对确定为实质性响应招标文件要求的投标文件进行评价和比较，评标采用综合评分法。对未中标人，将不作任何解释。</w:t>
      </w:r>
      <w:r/>
    </w:p>
    <w:p>
      <w:pPr>
        <w:ind w:firstLine="480"/>
        <w:spacing w:line="360" w:lineRule="auto"/>
        <w:rPr>
          <w:rFonts w:ascii="宋体"/>
          <w:sz w:val="24"/>
          <w:szCs w:val="24"/>
          <w:highlight w:val="none"/>
        </w:rPr>
      </w:pPr>
      <w:r>
        <w:rPr>
          <w:rFonts w:hint="eastAsia" w:ascii="宋体"/>
          <w:bCs/>
          <w:sz w:val="24"/>
          <w:szCs w:val="24"/>
          <w:highlight w:val="none"/>
        </w:rPr>
        <w:t xml:space="preserve">采用综合评分法的，按评审后综合得分由高到低顺序排列。综合得分相同的，按投标报价由低到高顺序排列。综合得分且投标报价相同的，按技术指标优劣顺序排列。</w:t>
      </w:r>
      <w:r/>
    </w:p>
    <w:p>
      <w:pPr>
        <w:numPr>
          <w:ilvl w:val="0"/>
          <w:numId w:val="3"/>
        </w:numPr>
        <w:ind w:firstLine="482"/>
        <w:spacing w:line="360" w:lineRule="auto"/>
        <w:tabs>
          <w:tab w:val="left" w:pos="2721" w:leader="none"/>
        </w:tabs>
        <w:rPr>
          <w:rFonts w:ascii="宋体"/>
          <w:b/>
          <w:sz w:val="24"/>
          <w:szCs w:val="24"/>
          <w:highlight w:val="none"/>
        </w:rPr>
      </w:pPr>
      <w:r>
        <w:rPr>
          <w:rFonts w:ascii="宋体"/>
          <w:b/>
          <w:sz w:val="24"/>
          <w:szCs w:val="24"/>
          <w:highlight w:val="none"/>
        </w:rPr>
        <w:t xml:space="preserve">评标标准</w:t>
      </w:r>
      <w:r>
        <w:rPr>
          <w:rFonts w:hint="eastAsia" w:ascii="宋体"/>
          <w:b/>
          <w:sz w:val="24"/>
          <w:szCs w:val="24"/>
          <w:highlight w:val="none"/>
        </w:rPr>
        <w:tab/>
      </w:r>
      <w:r/>
    </w:p>
    <w:p>
      <w:pPr>
        <w:ind w:left="420"/>
        <w:jc w:val="center"/>
        <w:spacing w:line="360" w:lineRule="auto"/>
        <w:tabs>
          <w:tab w:val="left" w:pos="0" w:leader="none"/>
          <w:tab w:val="left" w:pos="2721" w:leader="none"/>
        </w:tabs>
        <w:rPr>
          <w:rFonts w:ascii="宋体"/>
          <w:b/>
          <w:sz w:val="24"/>
          <w:szCs w:val="24"/>
          <w:highlight w:val="none"/>
        </w:rPr>
      </w:pPr>
      <w:r>
        <w:rPr>
          <w:rFonts w:hint="eastAsia" w:ascii="宋体"/>
          <w:b/>
          <w:sz w:val="24"/>
          <w:szCs w:val="24"/>
          <w:highlight w:val="none"/>
        </w:rPr>
        <w:t xml:space="preserve">项目分包一评标方法与评标标准</w:t>
      </w:r>
      <w:r/>
    </w:p>
    <w:tbl>
      <w:tblPr>
        <w:tblStyle w:val="917"/>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6"/>
        <w:gridCol w:w="6910"/>
        <w:gridCol w:w="905"/>
      </w:tblGrid>
      <w:tr>
        <w:trPr>
          <w:trHeight w:val="529"/>
        </w:trPr>
        <w:tc>
          <w:tcPr>
            <w:shd w:val="clear" w:color="auto" w:fill="ffffff"/>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评审项目</w:t>
            </w:r>
            <w:r/>
          </w:p>
        </w:tc>
        <w:tc>
          <w:tcPr>
            <w:shd w:val="clear" w:color="auto" w:fill="ffffff"/>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jc w:val="center"/>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评审标准</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分值</w:t>
            </w:r>
            <w:r/>
          </w:p>
        </w:tc>
      </w:tr>
      <w:tr>
        <w:trPr>
          <w:trHeight w:val="408"/>
        </w:trPr>
        <w:tc>
          <w:tcPr>
            <w:gridSpan w:val="3"/>
            <w:shd w:val="clear" w:color="auto" w:fill="ffffff"/>
            <w:tcBorders>
              <w:top w:val="single" w:color="000000" w:sz="4" w:space="0"/>
              <w:left w:val="single" w:color="000000" w:sz="4" w:space="0"/>
              <w:bottom w:val="single" w:color="000000" w:sz="4" w:space="0"/>
              <w:right w:val="single" w:color="000000" w:sz="4" w:space="0"/>
            </w:tcBorders>
            <w:tcW w:w="8515" w:type="dxa"/>
            <w:vAlign w:val="center"/>
            <w:textDirection w:val="lrTb"/>
            <w:noWrap w:val="false"/>
          </w:tcPr>
          <w:p>
            <w:pPr>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一、价格：10分</w:t>
            </w:r>
            <w:r/>
          </w:p>
        </w:tc>
      </w:tr>
      <w:tr>
        <w:trPr>
          <w:trHeight w:val="817"/>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投标价格</w:t>
            </w:r>
            <w:r/>
          </w:p>
        </w:tc>
        <w:tc>
          <w:tcPr>
            <w:tcBorders>
              <w:top w:val="single" w:color="000000" w:sz="4" w:space="0"/>
              <w:left w:val="single" w:color="000000" w:sz="4" w:space="0"/>
              <w:bottom w:val="single" w:color="000000" w:sz="4" w:space="0"/>
              <w:right w:val="single" w:color="000000" w:sz="4" w:space="0"/>
            </w:tcBorders>
            <w:tcW w:w="6116" w:type="dxa"/>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以满足招标文件要求且投标价格最低的投标报价为评标基准价。投标报价等于评标基准价的得满分10分；其他投标人的价格分统一按照下列公式计算：投标报价得分=（评标基准价/投标报价）×10。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10</w:t>
            </w:r>
            <w:r/>
          </w:p>
        </w:tc>
      </w:tr>
      <w:tr>
        <w:trPr>
          <w:trHeight w:val="377"/>
        </w:trPr>
        <w:tc>
          <w:tcPr>
            <w:gridSpan w:val="3"/>
            <w:tcBorders>
              <w:top w:val="single" w:color="000000" w:sz="4" w:space="0"/>
              <w:left w:val="single" w:color="000000" w:sz="4" w:space="0"/>
              <w:bottom w:val="single" w:color="000000" w:sz="4" w:space="0"/>
              <w:right w:val="single" w:color="000000" w:sz="4" w:space="0"/>
            </w:tcBorders>
            <w:tcW w:w="8515" w:type="dxa"/>
            <w:vAlign w:val="center"/>
            <w:textDirection w:val="lrTb"/>
            <w:noWrap w:val="false"/>
          </w:tcPr>
          <w:p>
            <w:pPr>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二、运维服务：50分</w:t>
            </w:r>
            <w:r/>
          </w:p>
        </w:tc>
      </w:tr>
      <w:tr>
        <w:trPr>
          <w:trHeight w:val="817"/>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2.1需求理解</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对招标涉及的运维内容和要求有全面的响应和满足，运维项应对准确，诠释充分，切实可行。优于项目需求的得4分；符合项目需求的得2分；不符合项目需求或不提供得0分。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817"/>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2.2服务方案</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招标文件要求及本项目特点提供有效的系统运维服务方案，包括但不限于服务渠道、服务方式、岗位设置、服务流程、响应级别、人员保障等。系统运维方案详细、完整。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817"/>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2.3核心业务系统运行监控维护方案</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提供核心业务系统运行监控维护方案，方案详细、完整。优于项目需求的得4分；符合项目需求的得2分；不符合项目需求或不提供得0分。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410"/>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2.4定点结算监控维护方案</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提供定点结算监控维护方案，方案详细、完整。优于项目需求的得4分；符合项目需求的得2分；不符合项目需求或不提供得0分。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817"/>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2.5业务经办监控维护方案</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提供业务经办监控维护方案，方案详细、完整。优于项目需求的得4分；符合项目需求的得2分；不符合项目需求或不提供得0分。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817"/>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2.6数据库优化方案</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提供数据库优化方案，方案详细、完整。优于项目需求的得4分；符合项目需求的得2分；不符合项目需求或不提供得0分。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974"/>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2.7问题和需求处理方案</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提供问题和需求处理方案，方案详细、完整。优于项目需求的得3分；符合项目需求的得1.5分；不符合项目需求或不提供得0分。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r>
      <w:tr>
        <w:trPr>
          <w:trHeight w:val="558"/>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2.8需求变更响应方案</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提供需求变更响应方案，方案详细、完整。优于项目需求的得3分；符合项目需求的得1.5分；不符合项目需求或不提供得0分。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r>
      <w:tr>
        <w:trPr>
          <w:trHeight w:val="817"/>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2.9测试和生产环境管理方案</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提供测试和生产环境管理方案，方案详细、完整。优于项目需求的得3分；符合项目需求的得1.5分；不符合项目需求或不提供得0分。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r>
      <w:tr>
        <w:trPr>
          <w:trHeight w:val="817"/>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2.10版本升级管理方案</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提供版本升级管理方案，方案详细、完整。优于项目需求的得3分；符合项目需求的得1.5分；不符合项目需求或不提供得0分。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r>
      <w:tr>
        <w:trPr>
          <w:trHeight w:val="817"/>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2.11数据质量管理方案</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提供数据质量管理方案，方案详细、完整。优于项目需求的得4分；符合项目需求的得2分；不符合项目需求或不提供得0分。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817"/>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2.12应用安全管理方案</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提供应用安全管理方案，方案详细、完整。优于项目需求的得3分；符合项目需求的得1.5分；不符合项目需求或不提供得0分。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r>
      <w:tr>
        <w:trPr>
          <w:trHeight w:val="817"/>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2.13外部接口对接管理方案</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提供外部接口对接管理方案，方案详细、完整。优于项目需求的得3分；符合项目需求的得1.5分；不符合项目需求或不提供得0分。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r>
      <w:tr>
        <w:trPr>
          <w:trHeight w:val="817"/>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2.14应急处置方案</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根据招标文件要求及本项目特点提供应急处置方案。应急处置方案详细、完整。优于项目需求的得4分；符合项目需求的得2分；不符合项目需求或不提供得0分。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581"/>
        </w:trPr>
        <w:tc>
          <w:tcPr>
            <w:gridSpan w:val="3"/>
            <w:tcBorders>
              <w:top w:val="single" w:color="000000" w:sz="4" w:space="0"/>
              <w:left w:val="single" w:color="000000" w:sz="4" w:space="0"/>
              <w:bottom w:val="single" w:color="000000" w:sz="4" w:space="0"/>
              <w:right w:val="single" w:color="000000" w:sz="4" w:space="0"/>
            </w:tcBorders>
            <w:tcW w:w="8515" w:type="dxa"/>
            <w:vAlign w:val="center"/>
            <w:textDirection w:val="lrTb"/>
            <w:noWrap w:val="false"/>
          </w:tcPr>
          <w:p>
            <w:pPr>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三、服务能力：40分</w:t>
            </w:r>
            <w:r/>
          </w:p>
        </w:tc>
      </w:tr>
      <w:tr>
        <w:trPr>
          <w:trHeight w:val="817"/>
        </w:trPr>
        <w:tc>
          <w:tcPr>
            <w:tcBorders>
              <w:top w:val="single" w:color="000000" w:sz="4" w:space="0"/>
              <w:left w:val="single" w:color="000000" w:sz="4" w:space="0"/>
              <w:bottom w:val="single" w:color="000000" w:sz="4" w:space="0"/>
              <w:right w:val="single" w:color="000000" w:sz="4" w:space="0"/>
            </w:tcBorders>
            <w:tcW w:w="1598" w:type="dxa"/>
            <w:vAlign w:val="center"/>
            <w:vMerge w:val="restart"/>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3.1企业资信</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3.1.1投标人具备与本项目系统相关的医保信息系统的软件著作权证书，证书软件名称包含“医保内部统一门户”“基础信息管理”“内部控制”“业务基础管理”“支付方式管理”等关键词，每具备一个证书得1分，此项最多得3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必须提供相应软件著作权证书复印件加盖公章，否则不得分；如投标文件中提供的著作权名称表述与招标文件描述的关键字样不一致，而该投标文件中能证明投标人拥有的软件著作权具有相同或相似功能和效果，且评标委员会认可的，视同符合要求。）</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r>
      <w:tr>
        <w:trPr>
          <w:trHeight w:val="817"/>
        </w:trPr>
        <w:tc>
          <w:tcPr>
            <w:tcBorders>
              <w:top w:val="single" w:color="000000" w:sz="4" w:space="0"/>
              <w:left w:val="single" w:color="000000" w:sz="4" w:space="0"/>
              <w:bottom w:val="single" w:color="000000" w:sz="4" w:space="0"/>
              <w:right w:val="single" w:color="000000" w:sz="4" w:space="0"/>
            </w:tcBorders>
            <w:tcW w:w="1598" w:type="dxa"/>
            <w:vAlign w:val="center"/>
            <w:vMerge w:val="continue"/>
            <w:textDirection w:val="lrTb"/>
            <w:noWrap w:val="false"/>
          </w:tcPr>
          <w:p>
            <w:pPr>
              <w:jc w:val="left"/>
              <w:keepLines/>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3.1.2投标人通过ISO9001质量管理体系认证、ISO27001信息安全管理体系认证、ISO20000信息技术服务管理体系认证，每提供1个得2分，最高得6分。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（必须提供有效期内的相应认证资质证明复印件加盖公章，否则不计分。）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w:t>
            </w:r>
            <w:r/>
          </w:p>
        </w:tc>
      </w:tr>
      <w:tr>
        <w:trPr>
          <w:trHeight w:val="817"/>
        </w:trPr>
        <w:tc>
          <w:tcPr>
            <w:tcBorders>
              <w:top w:val="single" w:color="000000" w:sz="4" w:space="0"/>
              <w:left w:val="single" w:color="000000" w:sz="4" w:space="0"/>
              <w:bottom w:val="single" w:color="000000" w:sz="4" w:space="0"/>
              <w:right w:val="single" w:color="000000" w:sz="4" w:space="0"/>
            </w:tcBorders>
            <w:tcW w:w="1598" w:type="dxa"/>
            <w:vAlign w:val="center"/>
            <w:vMerge w:val="continue"/>
            <w:textDirection w:val="lrTb"/>
            <w:noWrap w:val="false"/>
          </w:tcPr>
          <w:p>
            <w:pPr>
              <w:jc w:val="left"/>
              <w:keepLines/>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3.1.3</w:t>
            </w:r>
            <w:r>
              <w:rPr>
                <w:rFonts w:asciiTheme="minorEastAsia" w:hAnsiTheme="minorEastAsia" w:eastAsiaTheme="minorEastAsia" w:cstheme="minorEastAsia"/>
                <w:sz w:val="24"/>
                <w:szCs w:val="24"/>
                <w:highlight w:val="none"/>
              </w:rPr>
              <w:t xml:space="preserve">中国电子技术标准化研究院颁发的软件能力成熟度等级CSMM证书</w:t>
            </w:r>
            <w:r>
              <w:rPr>
                <w:rFonts w:hint="eastAsia" w:asciiTheme="minorEastAsia" w:hAnsiTheme="minorEastAsia" w:eastAsiaTheme="minorEastAsia" w:cstheme="minorEastAsia"/>
                <w:sz w:val="24"/>
                <w:szCs w:val="24"/>
                <w:highlight w:val="none"/>
              </w:rPr>
              <w:t xml:space="preserve">，提供得4分，不提供不得分。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（必须提供有效期内的相应认证资质证明复印件加盖公章，否则不计分。）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817"/>
        </w:trPr>
        <w:tc>
          <w:tcPr>
            <w:tcBorders>
              <w:top w:val="single" w:color="000000" w:sz="4" w:space="0"/>
              <w:left w:val="single" w:color="000000" w:sz="4" w:space="0"/>
              <w:right w:val="single" w:color="000000" w:sz="4" w:space="0"/>
            </w:tcBorders>
            <w:tcW w:w="1598" w:type="dxa"/>
            <w:vAlign w:val="center"/>
            <w:vMerge w:val="restart"/>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3.2人员配备</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3.2.1投标人为本项目配备的值班巡检岗位负责人员需持有注册信息安全专业人员（CISP）证书，或信息安全工程师（中级）证书，以上条件每满足一项得1分，同1人不重复得分，此项最多得1分；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3.2.2投标人为本项目配备的性能调优岗位负责人员，需持有ITSS服务工程师证书，或系统架构设计师（高级）证书，以上条件每满足一项得1分，同1人不重复得分，此项最多得1分；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3.2.3投标人为本项目配备的安全管理岗位负责人员，需持有注册信息安全专业人员（CISP）证书，以上条件每满足一项得1分，同1人不重复得分，此项最多得1分；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3.2.4投标人为本项目配备的数据管理岗位负责人员，需持有高级数据库管理工程师证书，或系统集成项目管理工程师（中级）证书，以上条件每满足一项得1分，同1人不重复得分，此项最多得2分；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3.2.5投标人为本项目配备的数据库优化岗位负责人员，需持有数据库系统工程师（中级）证书，或DCMM数据管理师（初级及以上）证书，以上条件每满足一项得1分，同1人不重复得分，此项最多得4分；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3.2.6投标人为本项目配备的业务子系统运行维护岗位负责人员，需持有ITSS服务工程师证书，或软件设计师（中级）证书，或软件评测师（中级）证书，或系统规划与管理师（高级）证书，或信息安全保障人员认证（CISAW）证书，以上条件每满足一项得1分，同一人不重复得分，此项最多得8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必须提供与上述运维人员签订的正式劳动合同和近半年内（2026年1月至2026年6月）任一自然月的社保缴费证明，否则不计分；以上持有证书的运维人员同一人不可重复得分，且必须提供相关证书或证明材料复印件并加盖公章，否则不计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17</w:t>
            </w:r>
            <w:r/>
          </w:p>
        </w:tc>
      </w:tr>
      <w:tr>
        <w:trPr>
          <w:trHeight w:val="558"/>
        </w:trPr>
        <w:tc>
          <w:tcPr>
            <w:tcBorders>
              <w:left w:val="single" w:color="000000" w:sz="4" w:space="0"/>
              <w:bottom w:val="single" w:color="000000" w:sz="4" w:space="0"/>
              <w:right w:val="single" w:color="000000" w:sz="4" w:space="0"/>
            </w:tcBorders>
            <w:tcW w:w="1598" w:type="dxa"/>
            <w:vAlign w:val="center"/>
            <w:vMerge w:val="continue"/>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3.2.7投标人承诺在中标结果公告发布之日起10天内，提供全部（首年65人，次年59人）运维人员名单，且人员资质需符合招标文件要求，且承诺提供的运维人员在本项目服务期内不同时参与其他运维服务或系统开发项目的得4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（投标人必须提供承诺函并加盖公章，否则不计分。）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817"/>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3.3类似业绩</w:t>
            </w:r>
            <w:r/>
          </w:p>
        </w:tc>
        <w:tc>
          <w:tcPr>
            <w:tcBorders>
              <w:top w:val="single" w:color="000000" w:sz="4" w:space="0"/>
              <w:left w:val="single" w:color="000000" w:sz="4" w:space="0"/>
              <w:bottom w:val="single" w:color="000000" w:sz="4" w:space="0"/>
              <w:right w:val="single" w:color="000000" w:sz="4" w:space="0"/>
            </w:tcBorders>
            <w:tcW w:w="6116"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投标人202</w:t>
            </w:r>
            <w:r>
              <w:rPr>
                <w:rFonts w:asciiTheme="minorEastAsia" w:hAnsiTheme="minorEastAsia" w:eastAsiaTheme="minorEastAsia" w:cstheme="minorEastAsia"/>
                <w:sz w:val="24"/>
                <w:szCs w:val="24"/>
                <w:highlight w:val="none"/>
              </w:rPr>
              <w:t xml:space="preserve">0</w:t>
            </w:r>
            <w:r>
              <w:rPr>
                <w:rFonts w:hint="eastAsia" w:asciiTheme="minorEastAsia" w:hAnsiTheme="minorEastAsia" w:eastAsiaTheme="minorEastAsia" w:cstheme="minorEastAsia"/>
                <w:sz w:val="24"/>
                <w:szCs w:val="24"/>
                <w:highlight w:val="none"/>
              </w:rPr>
              <w:t xml:space="preserve">年1月1日以来（以合同签订时间为准）具备类似信息系统的年度运维业绩，每具备一个业绩得2分，最高得6分。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(必须提供合同等有效证明材料复印件并加盖公章，否则不计分。)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w:t>
            </w:r>
            <w:r/>
          </w:p>
        </w:tc>
      </w:tr>
      <w:tr>
        <w:trPr>
          <w:trHeight w:val="353"/>
        </w:trPr>
        <w:tc>
          <w:tcPr>
            <w:gridSpan w:val="3"/>
            <w:tcBorders>
              <w:top w:val="single" w:color="000000" w:sz="4" w:space="0"/>
              <w:left w:val="single" w:color="000000" w:sz="4" w:space="0"/>
              <w:bottom w:val="single" w:color="000000" w:sz="4" w:space="0"/>
              <w:right w:val="single" w:color="000000" w:sz="4" w:space="0"/>
            </w:tcBorders>
            <w:tcW w:w="8515" w:type="dxa"/>
            <w:vAlign w:val="center"/>
            <w:textDirection w:val="lrTb"/>
            <w:noWrap w:val="false"/>
          </w:tcPr>
          <w:p>
            <w:pPr>
              <w:jc w:val="cente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合计：100分</w:t>
            </w:r>
            <w:r/>
          </w:p>
        </w:tc>
      </w:tr>
    </w:tbl>
    <w:p>
      <w:pPr>
        <w:jc w:val="left"/>
        <w:spacing w:line="360" w:lineRule="auto"/>
        <w:widowControl/>
        <w:rPr>
          <w:rFonts w:ascii="Times New Roman" w:hAnsi="Times New Roman" w:cs="Times New Roman"/>
          <w:highlight w:val="none"/>
        </w:rPr>
      </w:pPr>
      <w:r>
        <w:rPr>
          <w:rFonts w:ascii="Times New Roman" w:hAnsi="Times New Roman" w:cs="Times New Roman"/>
          <w:highlight w:val="none"/>
        </w:rPr>
      </w:r>
      <w:r/>
    </w:p>
    <w:p>
      <w:pPr>
        <w:jc w:val="left"/>
        <w:spacing w:line="360" w:lineRule="auto"/>
        <w:widowControl/>
        <w:rPr>
          <w:rFonts w:ascii="Times New Roman" w:hAnsi="Times New Roman" w:cs="Times New Roman"/>
          <w:highlight w:val="none"/>
        </w:rPr>
      </w:pPr>
      <w:r>
        <w:rPr>
          <w:rFonts w:ascii="Times New Roman" w:hAnsi="Times New Roman" w:cs="Times New Roman"/>
          <w:highlight w:val="none"/>
        </w:rPr>
      </w:r>
      <w:r/>
    </w:p>
    <w:p>
      <w:pPr>
        <w:jc w:val="left"/>
        <w:rPr>
          <w:rFonts w:eastAsia="方正小标宋_GBK" w:cs="Times New Roman" w:asciiTheme="minorHAnsi" w:hAnsiTheme="minorHAnsi"/>
          <w:bCs/>
          <w:sz w:val="28"/>
          <w:szCs w:val="21"/>
          <w:highlight w:val="none"/>
        </w:rPr>
      </w:pPr>
      <w:r>
        <w:rPr>
          <w:rFonts w:hint="eastAsia" w:eastAsia="方正小标宋_GBK" w:cs="Times New Roman" w:asciiTheme="minorHAnsi" w:hAnsiTheme="minorHAnsi"/>
          <w:bCs/>
          <w:sz w:val="28"/>
          <w:szCs w:val="21"/>
          <w:highlight w:val="none"/>
        </w:rPr>
        <w:br w:type="page" w:clear="all"/>
      </w:r>
      <w:r/>
    </w:p>
    <w:p>
      <w:pPr>
        <w:jc w:val="center"/>
        <w:spacing w:line="680" w:lineRule="exact"/>
        <w:rPr>
          <w:rFonts w:eastAsia="方正小标宋_GBK" w:cs="Times New Roman" w:asciiTheme="minorHAnsi" w:hAnsiTheme="minorHAnsi"/>
          <w:bCs/>
          <w:sz w:val="28"/>
          <w:szCs w:val="21"/>
          <w:highlight w:val="none"/>
        </w:rPr>
      </w:pPr>
      <w:r>
        <w:rPr>
          <w:rFonts w:hint="eastAsia" w:eastAsia="方正小标宋_GBK" w:cs="Times New Roman" w:asciiTheme="minorHAnsi" w:hAnsiTheme="minorHAnsi"/>
          <w:bCs/>
          <w:sz w:val="28"/>
          <w:szCs w:val="21"/>
          <w:highlight w:val="none"/>
        </w:rPr>
        <w:t xml:space="preserve">项目分包二评标方法与评标标准</w:t>
      </w:r>
      <w:r/>
    </w:p>
    <w:tbl>
      <w:tblPr>
        <w:tblStyle w:val="917"/>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8"/>
        <w:gridCol w:w="7303"/>
        <w:gridCol w:w="846"/>
      </w:tblGrid>
      <w:tr>
        <w:trPr>
          <w:trHeight w:val="447"/>
        </w:trPr>
        <w:tc>
          <w:tcPr>
            <w:shd w:val="clear" w:color="auto" w:fill="ffffff"/>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0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评审项目</w:t>
            </w:r>
            <w:r/>
          </w:p>
        </w:tc>
        <w:tc>
          <w:tcPr>
            <w:shd w:val="clear" w:color="auto" w:fill="ffffff"/>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jc w:val="center"/>
              <w:spacing w:line="40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评审标准</w:t>
            </w:r>
            <w:r/>
          </w:p>
        </w:tc>
        <w:tc>
          <w:tcPr>
            <w:shd w:val="clear" w:color="auto" w:fill="ffffff"/>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分值</w:t>
            </w:r>
            <w:r/>
          </w:p>
        </w:tc>
      </w:tr>
      <w:tr>
        <w:trPr>
          <w:trHeight w:val="411"/>
        </w:trPr>
        <w:tc>
          <w:tcPr>
            <w:gridSpan w:val="3"/>
            <w:shd w:val="clear" w:color="auto" w:fill="ffffff"/>
            <w:tcBorders>
              <w:top w:val="single" w:color="000000" w:sz="4" w:space="0"/>
              <w:left w:val="single" w:color="000000" w:sz="4" w:space="0"/>
              <w:bottom w:val="single" w:color="000000" w:sz="4" w:space="0"/>
              <w:right w:val="single" w:color="000000" w:sz="4" w:space="0"/>
            </w:tcBorders>
            <w:tcW w:w="8512" w:type="dxa"/>
            <w:vAlign w:val="center"/>
            <w:textDirection w:val="lrTb"/>
            <w:noWrap w:val="false"/>
          </w:tcPr>
          <w:p>
            <w:pPr>
              <w:jc w:val="left"/>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一、价格：10分</w:t>
            </w:r>
            <w:r/>
          </w:p>
        </w:tc>
      </w:tr>
      <w:tr>
        <w:trPr>
          <w:trHeight w:val="817"/>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投标价格</w:t>
            </w:r>
            <w:r/>
          </w:p>
        </w:tc>
        <w:tc>
          <w:tcPr>
            <w:tcBorders>
              <w:top w:val="single" w:color="000000" w:sz="4" w:space="0"/>
              <w:left w:val="single" w:color="000000" w:sz="4" w:space="0"/>
              <w:bottom w:val="single" w:color="000000" w:sz="4" w:space="0"/>
              <w:right w:val="single" w:color="000000" w:sz="4" w:space="0"/>
            </w:tcBorders>
            <w:tcW w:w="6464" w:type="dxa"/>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以满足招标文件要求且投标价格最低的投标报价为评标基准价。投标报价等于评标基准价的得满分10分；其他投标人的价格分统一按照下列公式计算：投标报价得分=（评标基准价/投标报价）×10。</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10</w:t>
            </w:r>
            <w:r/>
          </w:p>
        </w:tc>
      </w:tr>
      <w:tr>
        <w:trPr>
          <w:trHeight w:val="369"/>
        </w:trPr>
        <w:tc>
          <w:tcPr>
            <w:gridSpan w:val="3"/>
            <w:tcBorders>
              <w:top w:val="single" w:color="000000" w:sz="4" w:space="0"/>
              <w:left w:val="single" w:color="000000" w:sz="4" w:space="0"/>
              <w:bottom w:val="single" w:color="000000" w:sz="4" w:space="0"/>
              <w:right w:val="single" w:color="000000" w:sz="4" w:space="0"/>
            </w:tcBorders>
            <w:tcW w:w="8512" w:type="dxa"/>
            <w:vAlign w:val="center"/>
            <w:textDirection w:val="lrTb"/>
            <w:noWrap w:val="false"/>
          </w:tcPr>
          <w:p>
            <w:pPr>
              <w:jc w:val="left"/>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二、服务方案：50分</w:t>
            </w:r>
            <w:r/>
          </w:p>
        </w:tc>
      </w:tr>
      <w:tr>
        <w:trPr>
          <w:trHeight w:val="817"/>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2.1需求理解</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对招标涉及的运维内容和要求有全面的响应和满足，运维项应对准确，诠释充分，切实可行。优于项目需求的得4分；符合项目需求的得2分；不符合项目需求或不提供得0分。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817"/>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2.2公共服务子系统运维服务</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提供公共服务子系统运维服务方案，方案详细、完整。</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817"/>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2.3 便捷支付运维服务</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提供便捷支付运维服务方案，方案详细、完整。</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410"/>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2.4运维服务方案</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招标文件要求及本项目特点提供有效的系统运维服务方案，包括但不限于服务渠道、服务方式、服务流程、服务保障、人员安排等。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817"/>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2.5服务保障方案</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根据采购需求，提供服务保障方案，包括质量保障方案、安全保障方案、实施管理方案、应急响应方案与服务培训方案。</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817"/>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2.6问题和需求处理方案</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提供问题和需求处理方案，方案详细、完整。优于项目需求的得4分；符合项目需求的得2分；不符合项目需求或不提供得0分。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817"/>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2.7需求变更响应方案</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提供需求变更响应方案，方案详细、完整。优于项目需求的得4分；符合项目需求的得2分；不符合项目需求或不提供得0分。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817"/>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2.8版本升级管理方案</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提供版本升级管理方案，方案详细、完整。优于项目需求的得4分；符合项目需求的得2分；不符合项目需求或不提供得0分。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817"/>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2.9外部接口对接管理方案</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提供外部接口对接管理方案，方案详细、完整。优于项目需求的得3分；符合项目需求的得1.5分；不符合项目需求或不提供得0分。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r>
      <w:tr>
        <w:trPr>
          <w:trHeight w:val="817"/>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2.10应用安全管理方案</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提供应用安全管理方案，方案详细、完整。优于项目需求的得3分；符合项目需求的得1.5分；不符合项目需求或不提供得0分。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r>
      <w:tr>
        <w:trPr>
          <w:trHeight w:val="817"/>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2.11应急响应</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根据投标人提供的应急响应方案（包括但不限于响应流程、响应措施、人员安排等内容）综合评分：优于项目需求的得4分；符合项目需求的得2分；不符合项目需求或不提供得0分。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817"/>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2.12项目管理</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投标人提供的本项目管理方案（包括但不限于项目人员名单及角色分工、项目管理标准、质量保证、实施计划、变更管理、风险管理等内容）综合评分：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817"/>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2.13项目培训</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根据投标人提供的本项目培训方案（包括但不限于培训计划、培训方式、培训对象、培训内容等内容）综合评分：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优于项目需求的得4分；符合项目需求的得2分；不符合项目需求或不提供得0分。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trHeight w:val="361"/>
        </w:trPr>
        <w:tc>
          <w:tcPr>
            <w:gridSpan w:val="3"/>
            <w:tcBorders>
              <w:top w:val="single" w:color="000000" w:sz="4" w:space="0"/>
              <w:left w:val="single" w:color="000000" w:sz="4" w:space="0"/>
              <w:bottom w:val="single" w:color="000000" w:sz="4" w:space="0"/>
              <w:right w:val="single" w:color="000000" w:sz="4" w:space="0"/>
            </w:tcBorders>
            <w:tcW w:w="8512" w:type="dxa"/>
            <w:vAlign w:val="center"/>
            <w:textDirection w:val="lrTb"/>
            <w:noWrap w:val="false"/>
          </w:tcPr>
          <w:p>
            <w:pPr>
              <w:jc w:val="left"/>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三、服务能力：40分</w:t>
            </w:r>
            <w:r/>
          </w:p>
        </w:tc>
      </w:tr>
      <w:tr>
        <w:trPr>
          <w:trHeight w:val="361"/>
        </w:trPr>
        <w:tc>
          <w:tcPr>
            <w:tcBorders>
              <w:top w:val="single" w:color="000000" w:sz="4" w:space="0"/>
              <w:left w:val="single" w:color="000000" w:sz="4" w:space="0"/>
              <w:right w:val="single" w:color="000000" w:sz="4" w:space="0"/>
            </w:tcBorders>
            <w:tcW w:w="1299" w:type="dxa"/>
            <w:vAlign w:val="center"/>
            <w:vMerge w:val="restart"/>
            <w:textDirection w:val="lrTb"/>
            <w:noWrap w:val="false"/>
          </w:tcPr>
          <w:p>
            <w:pPr>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3.1企业资信</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3.1.1投标人具备与本项目类似的信息系统的软件著作权证书，证书软件名称包含“医保公共服务智能化系统”“医保经办”“互联网医保支付” “处方流转”等关键字，每提供一个证书得1分，此项最高得3分。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必须提供相应软件著作权证书复印件加盖公章，否则不得分；如投标文件中提供的著作权名称表述与招标文件描述的关键字样不一致，而该投标文件中能证明投标人拥有的软件著作权具有相同或相似功能和效果，且评标委员会认可的，视同符合要求。）</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r>
      <w:tr>
        <w:trPr>
          <w:cantSplit/>
          <w:trHeight w:val="817"/>
        </w:trPr>
        <w:tc>
          <w:tcPr>
            <w:tcBorders>
              <w:left w:val="single" w:color="000000" w:sz="4" w:space="0"/>
              <w:right w:val="single" w:color="000000" w:sz="4" w:space="0"/>
            </w:tcBorders>
            <w:tcW w:w="1299" w:type="dxa"/>
            <w:vAlign w:val="center"/>
            <w:vMerge w:val="continue"/>
            <w:textDirection w:val="lrTb"/>
            <w:noWrap w:val="false"/>
          </w:tcPr>
          <w:p>
            <w:pPr>
              <w:jc w:val="lef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3.1.2 投标人通过ISO9001质量管理体系认证、ISO/IEC 27001信息安全管理体系认证、ISO/IEC 20000信息技术服务管理体系认证证书。每提供1个得</w:t>
            </w: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rPr>
              <w:t xml:space="preserve">分，此项最多得6分。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（必须提供有效期内的相应认证资质证明扫描件或复印件加盖公章，否则不计分。）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w:t>
            </w:r>
            <w:r/>
          </w:p>
        </w:tc>
      </w:tr>
      <w:tr>
        <w:trPr>
          <w:cantSplit/>
          <w:trHeight w:val="817"/>
        </w:trPr>
        <w:tc>
          <w:tcPr>
            <w:tcBorders>
              <w:left w:val="single" w:color="000000" w:sz="4" w:space="0"/>
              <w:bottom w:val="single" w:color="000000" w:sz="4" w:space="0"/>
              <w:right w:val="single" w:color="000000" w:sz="4" w:space="0"/>
            </w:tcBorders>
            <w:tcW w:w="1299" w:type="dxa"/>
            <w:vAlign w:val="center"/>
            <w:vMerge w:val="continue"/>
            <w:textDirection w:val="lrTb"/>
            <w:noWrap w:val="false"/>
          </w:tcPr>
          <w:p>
            <w:pPr>
              <w:jc w:val="lef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3.1.3 投标人具备中国电子技术标准化研究院颁发的软件能力成熟度等级CSMM证书，提供得4分，不提供不得分，此项最多得4分。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（必须提供有效期内的证书复印件加盖公章，否则不计分。）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cantSplit/>
          <w:trHeight w:val="817"/>
        </w:trPr>
        <w:tc>
          <w:tcPr>
            <w:tcBorders>
              <w:top w:val="single" w:color="000000" w:sz="4" w:space="0"/>
              <w:left w:val="single" w:color="000000" w:sz="4" w:space="0"/>
              <w:right w:val="single" w:color="000000" w:sz="4" w:space="0"/>
            </w:tcBorders>
            <w:tcW w:w="1299" w:type="dxa"/>
            <w:vAlign w:val="center"/>
            <w:vMerge w:val="restart"/>
            <w:textDirection w:val="lrTb"/>
            <w:noWrap w:val="false"/>
          </w:tcPr>
          <w:p>
            <w:pPr>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3.2人员配备</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3.2.1投标人拟投入的项目经理（限 1 名）：</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1.具备不少于3年类似信息化项目管理经历的，得3分；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2.本项目拟配备的项目经理具有以下计算机技术与软件专业技术资格证书： </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（1）软件性能测试高级工程师(中国软件评测中心颁发)</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（2）信息系统项目管理师（人社部门认证的计算机技术与软件专业技术资格证书）</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每提供1个证书，得1.5分，此项最多得3分。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必须提供与项目经理签订的正式劳动合同和投标人为其缴纳的近半年内（2026年1月至2026年6月）任意一个月的社保缴费证明，以及相关证书及参与信息化项目的相关证明材料扫描件或复印件并加盖公章，证明材料需包括项目合同，否则不得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w:t>
            </w:r>
            <w:r/>
          </w:p>
        </w:tc>
      </w:tr>
      <w:tr>
        <w:trPr>
          <w:cantSplit/>
          <w:trHeight w:val="817"/>
        </w:trPr>
        <w:tc>
          <w:tcPr>
            <w:tcBorders>
              <w:left w:val="single" w:color="000000" w:sz="4" w:space="0"/>
              <w:bottom w:val="single" w:color="000000" w:sz="4" w:space="0"/>
              <w:right w:val="single" w:color="000000" w:sz="4" w:space="0"/>
            </w:tcBorders>
            <w:tcW w:w="1299" w:type="dxa"/>
            <w:vAlign w:val="center"/>
            <w:vMerge w:val="continue"/>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3.2.2 投标人拟投入本项目的其他团队成员，需具有以下证书：</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1.中国信息安全测评中心颁发注册信息安全工程师证书（CISP）</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2.中国软件评测中心颁发软件性能测试高级工程师证书</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3.由人社部、国家统计局颁发的统计师中级及以上资格证书</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4.以下人社部门颁发的计算机技术与软件专业技术资格证书：</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（1）信息安全工程师证书</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（2）网络工程师中级及以上资格证书</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（3）软件设计师中级及以上资格证书</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（4）软件评测师证书</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（5）数据库系统工程师中级及以上资格证书</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有由人社部、国家统计局颁发的统计师中级及以上资格证书得3分，除此以外以上其他证书每提供1个得2分，同1人有多个证书不可重复得分，不同人有相同证书可重复得分，同一证书最多得4分，此项最多得15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必须提供与上述人员签订的正式劳动合同和投标人为其缴纳的近半年内（2026年1月至2026年6月）任意一个月的社保缴费证明，否则不计分；以上持有证书人员必须提供相关证书或证明材料扫描件或复印件并加盖投标人公章，否则不计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15</w:t>
            </w:r>
            <w:r/>
          </w:p>
        </w:tc>
      </w:tr>
      <w:tr>
        <w:trPr>
          <w:trHeight w:val="817"/>
        </w:trPr>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3.3类似业绩</w:t>
            </w:r>
            <w:r/>
          </w:p>
        </w:tc>
        <w:tc>
          <w:tcPr>
            <w:tcBorders>
              <w:top w:val="single" w:color="000000" w:sz="4" w:space="0"/>
              <w:left w:val="single" w:color="000000" w:sz="4" w:space="0"/>
              <w:bottom w:val="single" w:color="000000" w:sz="4" w:space="0"/>
              <w:right w:val="single" w:color="000000" w:sz="4" w:space="0"/>
            </w:tcBorders>
            <w:tcW w:w="6464" w:type="dxa"/>
            <w:vAlign w:val="center"/>
            <w:textDirection w:val="lrTb"/>
            <w:noWrap w:val="false"/>
          </w:tcPr>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投标人2020年1月1日以来（以合同签订时间为准）具备类似信息系统的年度运维业绩，每具备一个业绩得2分，最高得6分。</w:t>
            </w:r>
            <w:r/>
          </w:p>
          <w:p>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(必须提供合同等有效证明材料复印件并加盖公章，否则不计分。)</w:t>
            </w: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w:t>
            </w:r>
            <w:r/>
          </w:p>
        </w:tc>
      </w:tr>
      <w:tr>
        <w:trPr>
          <w:trHeight w:val="817"/>
        </w:trPr>
        <w:tc>
          <w:tcPr>
            <w:gridSpan w:val="3"/>
            <w:tcBorders>
              <w:top w:val="single" w:color="000000" w:sz="4" w:space="0"/>
              <w:left w:val="single" w:color="000000" w:sz="4" w:space="0"/>
              <w:bottom w:val="single" w:color="000000" w:sz="4" w:space="0"/>
              <w:right w:val="single" w:color="000000" w:sz="4" w:space="0"/>
            </w:tcBorders>
            <w:tcW w:w="8512" w:type="dxa"/>
            <w:vAlign w:val="center"/>
            <w:textDirection w:val="lrTb"/>
            <w:noWrap w:val="false"/>
          </w:tcPr>
          <w:p>
            <w:pPr>
              <w:jc w:val="center"/>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合计：100分</w:t>
            </w:r>
            <w:r/>
          </w:p>
        </w:tc>
      </w:tr>
    </w:tbl>
    <w:p>
      <w:pPr>
        <w:jc w:val="left"/>
        <w:spacing w:line="360" w:lineRule="auto"/>
        <w:widowControl/>
        <w:rPr>
          <w:rFonts w:ascii="Times New Roman" w:hAnsi="Times New Roman" w:cs="Times New Roman"/>
          <w:highlight w:val="none"/>
        </w:rPr>
      </w:pPr>
      <w:r>
        <w:rPr>
          <w:rFonts w:ascii="Times New Roman" w:hAnsi="Times New Roman" w:cs="Times New Roman"/>
          <w:highlight w:val="none"/>
        </w:rPr>
      </w:r>
      <w:r/>
    </w:p>
    <w:p>
      <w:pPr>
        <w:jc w:val="left"/>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说明：</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2、小微企业的价格扣除</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3、监狱和戒毒企业的价格扣除</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3.1. 本项目对监狱和戒毒企业（简称监狱企业），给予等同于小微企业的价格扣除，用扣除后的价格参与评审。</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3.2. 监狱企业需提供由省级以上监狱管理局、戒毒管理局（含新疆生产建设兵团）出具的属于监狱企业的证明文件。</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3.3. 监狱企业标准请参照《关于政府采购支持监狱企业发展有关问题的通知》（财库[2014]68号）。</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4、残疾人福利性单位的价格扣除</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4.1. 本项目对残疾人福利性单位，给予等同于小微企业的价格扣除，用扣除后的价格参与评审。</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4.2. 残疾人福利单位需按照招标文件的要求提供《残疾人福利性单位声明函》。</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4.3. 残疾人福利单位标准请参照《关于促进残疾人就业政府采购政策的通知》（财库〔2017〕141号）。</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5、监狱企业、残疾人福利单位属于小型、微型企业的，不重复享受政策。</w:t>
      </w:r>
      <w:r/>
    </w:p>
    <w:p>
      <w:pPr>
        <w:ind w:firstLine="420"/>
        <w:spacing w:line="360" w:lineRule="auto"/>
        <w:widowControl/>
        <w:rPr>
          <w:rFonts w:ascii="Times New Roman" w:hAnsi="Times New Roman" w:cs="Times New Roman"/>
          <w:highlight w:val="none"/>
        </w:rPr>
      </w:pPr>
      <w:r>
        <w:rPr>
          <w:rFonts w:hint="eastAsia" w:ascii="Times New Roman" w:hAnsi="Times New Roman" w:cs="Times New Roman"/>
          <w:highlight w:val="none"/>
        </w:rPr>
        <w:t xml:space="preserve">6、</w:t>
      </w:r>
      <w:r>
        <w:rPr>
          <w:rFonts w:ascii="Times New Roman" w:hAnsi="Times New Roman" w:cs="Times New Roman"/>
          <w:highlight w:val="none"/>
        </w:rPr>
        <w:t xml:space="preserve">除招标公告载明接受进口产品参加外</w:t>
      </w:r>
      <w:r>
        <w:rPr>
          <w:rFonts w:hint="eastAsia" w:ascii="Times New Roman" w:hAnsi="Times New Roman" w:cs="Times New Roman"/>
          <w:highlight w:val="none"/>
        </w:rPr>
        <w:t xml:space="preserve">，</w:t>
      </w:r>
      <w:r>
        <w:rPr>
          <w:rFonts w:ascii="Times New Roman" w:hAnsi="Times New Roman" w:cs="Times New Roman"/>
          <w:highlight w:val="none"/>
        </w:rPr>
        <w:t xml:space="preserve">不允许进口产品参加</w:t>
      </w:r>
      <w:r>
        <w:rPr>
          <w:rFonts w:hint="eastAsia" w:ascii="Times New Roman" w:hAnsi="Times New Roman" w:cs="Times New Roman"/>
          <w:highlight w:val="none"/>
        </w:rPr>
        <w:t xml:space="preserve">。进口产品认定依照《财政部办公厅关于政府采购进口产品管理有关问题的通知》（</w:t>
      </w:r>
      <w:r>
        <w:rPr>
          <w:rFonts w:hint="eastAsia" w:ascii="Times New Roman" w:hAnsi="Times New Roman" w:cs="Times New Roman"/>
          <w:sz w:val="24"/>
          <w:szCs w:val="24"/>
          <w:highlight w:val="none"/>
        </w:rPr>
        <w:t xml:space="preserve">财办库</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2008</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248号</w:t>
      </w:r>
      <w:r>
        <w:rPr>
          <w:rFonts w:hint="eastAsia" w:ascii="Times New Roman" w:hAnsi="Times New Roman" w:cs="Times New Roman"/>
          <w:highlight w:val="none"/>
        </w:rPr>
        <w:t xml:space="preserve">）的规定。</w:t>
      </w:r>
      <w:r/>
    </w:p>
    <w:p>
      <w:pPr>
        <w:jc w:val="left"/>
        <w:widowControl/>
        <w:rPr>
          <w:rFonts w:ascii="黑体" w:eastAsia="黑体" w:cs="黑体"/>
          <w:sz w:val="36"/>
          <w:szCs w:val="36"/>
          <w:highlight w:val="none"/>
          <w:lang w:val="zh-TW" w:eastAsia="zh-TW"/>
        </w:rPr>
      </w:pPr>
      <w:r>
        <w:rPr>
          <w:rFonts w:ascii="黑体" w:eastAsia="黑体" w:cs="黑体"/>
          <w:sz w:val="36"/>
          <w:szCs w:val="36"/>
          <w:highlight w:val="none"/>
          <w:lang w:val="zh-TW" w:eastAsia="zh-TW"/>
        </w:rPr>
        <w:br w:type="page" w:clear="all"/>
      </w:r>
      <w:r/>
    </w:p>
    <w:p>
      <w:pPr>
        <w:jc w:val="center"/>
        <w:keepLines/>
        <w:keepNext/>
        <w:spacing w:before="240" w:after="240" w:line="360" w:lineRule="auto"/>
        <w:rPr>
          <w:rFonts w:ascii="黑体" w:eastAsia="黑体" w:cs="黑体"/>
          <w:sz w:val="36"/>
          <w:szCs w:val="36"/>
          <w:highlight w:val="none"/>
          <w:lang w:val="zh-TW" w:eastAsia="zh-TW"/>
        </w:rPr>
        <w:outlineLvl w:val="0"/>
      </w:pPr>
      <w:r/>
      <w:bookmarkStart w:id="15" w:name="_Toc30059"/>
      <w:r/>
      <w:r/>
    </w:p>
    <w:p>
      <w:pPr>
        <w:jc w:val="center"/>
        <w:keepLines/>
        <w:keepNext/>
        <w:spacing w:before="240" w:after="240" w:line="360" w:lineRule="auto"/>
        <w:rPr>
          <w:rFonts w:ascii="黑体" w:eastAsia="黑体" w:cs="黑体"/>
          <w:sz w:val="36"/>
          <w:szCs w:val="36"/>
          <w:highlight w:val="none"/>
          <w:lang w:val="zh-TW" w:eastAsia="zh-TW"/>
        </w:rPr>
        <w:outlineLvl w:val="0"/>
      </w:pPr>
      <w:r>
        <w:rPr>
          <w:rFonts w:ascii="黑体" w:eastAsia="黑体" w:cs="黑体"/>
          <w:sz w:val="36"/>
          <w:szCs w:val="36"/>
          <w:highlight w:val="none"/>
          <w:lang w:val="zh-TW" w:eastAsia="zh-TW"/>
        </w:rPr>
      </w:r>
      <w:r/>
    </w:p>
    <w:p>
      <w:pPr>
        <w:jc w:val="center"/>
        <w:keepLines/>
        <w:keepNext/>
        <w:spacing w:before="240" w:after="240" w:line="360" w:lineRule="auto"/>
        <w:rPr>
          <w:rFonts w:ascii="黑体" w:eastAsia="黑体" w:cs="黑体"/>
          <w:sz w:val="36"/>
          <w:szCs w:val="36"/>
          <w:highlight w:val="none"/>
          <w:lang w:val="zh-TW" w:eastAsia="zh-TW"/>
        </w:rPr>
        <w:outlineLvl w:val="0"/>
      </w:pPr>
      <w:r>
        <w:rPr>
          <w:rFonts w:ascii="黑体" w:eastAsia="黑体" w:cs="黑体"/>
          <w:sz w:val="36"/>
          <w:szCs w:val="36"/>
          <w:highlight w:val="none"/>
          <w:lang w:val="zh-TW" w:eastAsia="zh-TW"/>
        </w:rPr>
      </w:r>
      <w:r/>
    </w:p>
    <w:p>
      <w:pPr>
        <w:jc w:val="center"/>
        <w:keepLines/>
        <w:keepNext/>
        <w:spacing w:before="240" w:after="240" w:line="360" w:lineRule="auto"/>
        <w:rPr>
          <w:rFonts w:ascii="黑体" w:eastAsia="黑体" w:cs="黑体"/>
          <w:sz w:val="36"/>
          <w:szCs w:val="36"/>
          <w:highlight w:val="none"/>
          <w:lang w:val="zh-TW" w:eastAsia="zh-TW"/>
        </w:rPr>
        <w:outlineLvl w:val="0"/>
      </w:pPr>
      <w:r>
        <w:rPr>
          <w:rFonts w:ascii="黑体" w:eastAsia="黑体" w:cs="黑体"/>
          <w:sz w:val="36"/>
          <w:szCs w:val="36"/>
          <w:highlight w:val="none"/>
          <w:lang w:val="zh-TW" w:eastAsia="zh-TW"/>
        </w:rPr>
        <w:t xml:space="preserve">第</w:t>
      </w:r>
      <w:r>
        <w:rPr>
          <w:rFonts w:hint="eastAsia" w:ascii="黑体" w:eastAsia="黑体" w:cs="黑体"/>
          <w:sz w:val="36"/>
          <w:szCs w:val="36"/>
          <w:highlight w:val="none"/>
          <w:lang w:val="zh-TW"/>
        </w:rPr>
        <w:t xml:space="preserve">六</w:t>
      </w:r>
      <w:r>
        <w:rPr>
          <w:rFonts w:ascii="黑体" w:eastAsia="黑体" w:cs="黑体"/>
          <w:sz w:val="36"/>
          <w:szCs w:val="36"/>
          <w:highlight w:val="none"/>
          <w:lang w:val="zh-TW" w:eastAsia="zh-TW"/>
        </w:rPr>
        <w:t xml:space="preserve">章  </w:t>
      </w:r>
      <w:r>
        <w:rPr>
          <w:rFonts w:hint="eastAsia" w:ascii="黑体" w:eastAsia="黑体" w:cs="黑体"/>
          <w:sz w:val="36"/>
          <w:szCs w:val="36"/>
          <w:highlight w:val="none"/>
          <w:lang w:val="zh-TW" w:eastAsia="zh-TW"/>
        </w:rPr>
        <w:t xml:space="preserve">投标文件格式</w:t>
      </w:r>
      <w:bookmarkEnd w:id="15"/>
      <w:r/>
      <w:r/>
    </w:p>
    <w:p>
      <w:pPr>
        <w:jc w:val="center"/>
        <w:widowControl/>
        <w:rPr>
          <w:rFonts w:ascii="Times New Roman" w:hAnsi="Times New Roman" w:cs="Times New Roman"/>
          <w:sz w:val="24"/>
          <w:highlight w:val="none"/>
        </w:rPr>
      </w:pPr>
      <w:r>
        <w:rPr>
          <w:rFonts w:ascii="宋体" w:hAnsi="宋体" w:cs="宋体"/>
          <w:b/>
          <w:bCs/>
          <w:sz w:val="36"/>
          <w:szCs w:val="36"/>
          <w:highlight w:val="none"/>
        </w:rPr>
        <w:t xml:space="preserve"> </w:t>
      </w:r>
      <w:r/>
    </w:p>
    <w:p>
      <w:pPr>
        <w:ind w:firstLine="1081"/>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ind w:firstLine="1081"/>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ind w:firstLine="1081"/>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ind w:firstLine="1081"/>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ind w:firstLine="1081"/>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ind w:firstLine="1081"/>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ind w:firstLine="1081"/>
        <w:widowControl/>
        <w:rPr>
          <w:rFonts w:ascii="Times New Roman" w:hAnsi="Times New Roman" w:cs="Times New Roman"/>
          <w:sz w:val="24"/>
          <w:highlight w:val="none"/>
        </w:rPr>
      </w:pPr>
      <w:r>
        <w:rPr>
          <w:rFonts w:ascii="宋体" w:hAnsi="宋体" w:cs="宋体"/>
          <w:b/>
          <w:bCs/>
          <w:sz w:val="36"/>
          <w:szCs w:val="36"/>
          <w:highlight w:val="none"/>
        </w:rPr>
        <w:t xml:space="preserve">项 目 名 称：</w:t>
      </w:r>
      <w:r>
        <w:rPr>
          <w:rFonts w:ascii="宋体" w:hAnsi="宋体" w:cs="宋体"/>
          <w:b/>
          <w:bCs/>
          <w:sz w:val="36"/>
          <w:szCs w:val="36"/>
          <w:highlight w:val="none"/>
          <w:u w:val="single"/>
        </w:rPr>
        <w:t xml:space="preserve">          </w:t>
      </w:r>
      <w:r/>
    </w:p>
    <w:p>
      <w:pPr>
        <w:ind w:firstLine="1081"/>
        <w:widowControl/>
        <w:rPr>
          <w:rFonts w:ascii="Times New Roman" w:hAnsi="Times New Roman" w:cs="Times New Roman"/>
          <w:sz w:val="24"/>
          <w:highlight w:val="none"/>
        </w:rPr>
      </w:pPr>
      <w:r>
        <w:rPr>
          <w:rFonts w:ascii="宋体" w:hAnsi="宋体" w:cs="宋体"/>
          <w:b/>
          <w:bCs/>
          <w:sz w:val="36"/>
          <w:szCs w:val="36"/>
          <w:highlight w:val="none"/>
        </w:rPr>
        <w:t xml:space="preserve">招 标 编 号：</w:t>
      </w:r>
      <w:r>
        <w:rPr>
          <w:rFonts w:ascii="宋体" w:hAnsi="宋体" w:cs="宋体"/>
          <w:b/>
          <w:bCs/>
          <w:sz w:val="36"/>
          <w:szCs w:val="36"/>
          <w:highlight w:val="none"/>
          <w:u w:val="single"/>
        </w:rPr>
        <w:t xml:space="preserve">          </w:t>
      </w:r>
      <w:r/>
    </w:p>
    <w:p>
      <w:pPr>
        <w:widowControl/>
        <w:rPr>
          <w:rFonts w:ascii="Times New Roman" w:hAnsi="Times New Roman" w:cs="Times New Roman"/>
          <w:sz w:val="24"/>
          <w:highlight w:val="none"/>
        </w:rPr>
      </w:pPr>
      <w:r>
        <w:rPr>
          <w:rFonts w:ascii="宋体" w:hAnsi="宋体" w:cs="宋体"/>
          <w:b/>
          <w:bCs/>
          <w:sz w:val="36"/>
          <w:szCs w:val="36"/>
          <w:highlight w:val="none"/>
        </w:rPr>
        <w:t xml:space="preserve">   投标人名称 ：</w:t>
      </w:r>
      <w:r>
        <w:rPr>
          <w:rFonts w:ascii="宋体" w:hAnsi="宋体" w:cs="宋体"/>
          <w:b/>
          <w:bCs/>
          <w:sz w:val="36"/>
          <w:szCs w:val="36"/>
          <w:highlight w:val="none"/>
          <w:u w:val="single"/>
        </w:rPr>
        <w:t xml:space="preserve">（加盖CA电子公章）</w:t>
      </w:r>
      <w:r/>
    </w:p>
    <w:p>
      <w:pPr>
        <w:widowControl/>
        <w:rPr>
          <w:rFonts w:ascii="Times New Roman" w:hAnsi="Times New Roman" w:cs="Times New Roman"/>
          <w:sz w:val="24"/>
          <w:highlight w:val="none"/>
        </w:rPr>
      </w:pPr>
      <w:r>
        <w:rPr>
          <w:rFonts w:ascii="宋体" w:hAnsi="宋体" w:cs="宋体"/>
          <w:b/>
          <w:bCs/>
          <w:sz w:val="36"/>
          <w:szCs w:val="36"/>
          <w:highlight w:val="none"/>
        </w:rPr>
        <w:t xml:space="preserve">   日 </w:t>
      </w:r>
      <w:r>
        <w:rPr>
          <w:rFonts w:hint="eastAsia" w:ascii="Times New Roman" w:hAnsi="Times New Roman" w:cs="宋体"/>
          <w:b/>
          <w:bCs/>
          <w:sz w:val="36"/>
          <w:szCs w:val="36"/>
          <w:highlight w:val="none"/>
        </w:rPr>
        <w:t xml:space="preserve">    </w:t>
      </w:r>
      <w:r>
        <w:rPr>
          <w:rFonts w:ascii="宋体" w:hAnsi="宋体" w:cs="宋体"/>
          <w:b/>
          <w:bCs/>
          <w:sz w:val="36"/>
          <w:szCs w:val="36"/>
          <w:highlight w:val="none"/>
        </w:rPr>
        <w:t xml:space="preserve">期 ：</w:t>
      </w:r>
      <w:r>
        <w:rPr>
          <w:rFonts w:ascii="宋体" w:hAnsi="宋体" w:cs="宋体"/>
          <w:b/>
          <w:bCs/>
          <w:sz w:val="36"/>
          <w:szCs w:val="36"/>
          <w:highlight w:val="none"/>
          <w:u w:val="single"/>
        </w:rPr>
        <w:t xml:space="preserve">          </w:t>
      </w:r>
      <w:r/>
    </w:p>
    <w:p>
      <w:pPr>
        <w:jc w:val="center"/>
        <w:spacing w:line="360" w:lineRule="auto"/>
        <w:rPr>
          <w:rFonts w:ascii="Times New Roman" w:hAnsi="Times New Roman" w:cs="Times New Roman"/>
          <w:highlight w:val="none"/>
        </w:rPr>
      </w:pPr>
      <w:r>
        <w:rPr>
          <w:rFonts w:ascii="Times New Roman" w:hAnsi="Times New Roman" w:cs="Times New Roman"/>
          <w:highlight w:val="none"/>
        </w:rPr>
        <w:br w:type="page" w:clear="all"/>
      </w:r>
      <w:r/>
    </w:p>
    <w:p>
      <w:pPr>
        <w:spacing w:before="120" w:after="120" w:line="360" w:lineRule="auto"/>
        <w:tabs>
          <w:tab w:val="left" w:pos="576" w:leader="none"/>
        </w:tabs>
        <w:rPr>
          <w:rFonts w:ascii="Times New Roman" w:hAnsi="Times New Roman" w:eastAsia="黑体" w:cs="Times New Roman"/>
          <w:sz w:val="24"/>
          <w:szCs w:val="24"/>
          <w:highlight w:val="none"/>
        </w:rPr>
        <w:outlineLvl w:val="2"/>
      </w:pPr>
      <w:r/>
      <w:bookmarkStart w:id="16" w:name="_Toc50"/>
      <w:r/>
      <w:bookmarkStart w:id="17" w:name="_Toc415494574"/>
      <w:r/>
      <w:bookmarkStart w:id="18" w:name="_Toc448069988"/>
      <w:r/>
      <w:bookmarkStart w:id="19" w:name="_Toc11859491"/>
      <w:r/>
      <w:bookmarkStart w:id="20" w:name="_Toc417"/>
      <w:r>
        <w:rPr>
          <w:rFonts w:ascii="Times New Roman" w:hAnsi="Times New Roman" w:eastAsia="黑体" w:cs="Times New Roman"/>
          <w:sz w:val="24"/>
          <w:szCs w:val="24"/>
          <w:highlight w:val="none"/>
        </w:rPr>
        <w:t xml:space="preserve">6.1 </w:t>
      </w:r>
      <w:bookmarkEnd w:id="16"/>
      <w:r/>
      <w:bookmarkEnd w:id="17"/>
      <w:r/>
      <w:bookmarkEnd w:id="18"/>
      <w:r>
        <w:rPr>
          <w:rFonts w:hint="eastAsia" w:ascii="Times New Roman" w:hAnsi="Times New Roman" w:eastAsia="黑体" w:cs="Times New Roman"/>
          <w:sz w:val="24"/>
          <w:szCs w:val="24"/>
          <w:highlight w:val="none"/>
        </w:rPr>
        <w:t xml:space="preserve">投标函</w:t>
      </w:r>
      <w:bookmarkEnd w:id="19"/>
      <w:r/>
      <w:bookmarkEnd w:id="20"/>
      <w:r/>
      <w:r/>
    </w:p>
    <w:p>
      <w:pPr>
        <w:jc w:val="center"/>
        <w:spacing w:line="360" w:lineRule="auto"/>
        <w:rPr>
          <w:rFonts w:ascii="黑体" w:eastAsia="黑体" w:cs="Times New Roman"/>
          <w:sz w:val="28"/>
          <w:szCs w:val="24"/>
          <w:highlight w:val="none"/>
          <w:lang w:val="zh-TW" w:eastAsia="zh-TW"/>
        </w:rPr>
      </w:pPr>
      <w:r>
        <w:rPr>
          <w:rFonts w:hint="eastAsia" w:ascii="黑体" w:eastAsia="黑体" w:cs="Times New Roman"/>
          <w:sz w:val="28"/>
          <w:szCs w:val="24"/>
          <w:highlight w:val="none"/>
          <w:lang w:val="zh-TW" w:eastAsia="zh-TW"/>
        </w:rPr>
        <w:t xml:space="preserve">投标函</w:t>
      </w:r>
      <w:r/>
    </w:p>
    <w:p>
      <w:pPr>
        <w:pStyle w:val="951"/>
        <w:ind w:firstLine="0"/>
        <w:spacing w:before="0" w:after="0" w:line="300" w:lineRule="auto"/>
        <w:rPr>
          <w:rFonts w:ascii="Times New Roman" w:hAnsi="Times New Roman"/>
          <w:szCs w:val="21"/>
          <w:highlight w:val="none"/>
        </w:rPr>
      </w:pPr>
      <w:r>
        <w:rPr>
          <w:rFonts w:ascii="Times New Roman" w:hAnsi="Times New Roman"/>
          <w:szCs w:val="21"/>
          <w:highlight w:val="none"/>
        </w:rPr>
        <w:t xml:space="preserve">致：</w:t>
      </w:r>
      <w:r>
        <w:rPr>
          <w:rFonts w:hint="eastAsia" w:ascii="Times New Roman" w:hAnsi="Times New Roman"/>
          <w:szCs w:val="21"/>
          <w:highlight w:val="none"/>
        </w:rPr>
        <w:t xml:space="preserve">江苏省医疗保障局</w:t>
      </w:r>
      <w:r/>
    </w:p>
    <w:p>
      <w:pPr>
        <w:pStyle w:val="951"/>
        <w:spacing w:before="0" w:after="0" w:line="300" w:lineRule="auto"/>
        <w:rPr>
          <w:rFonts w:ascii="Times New Roman" w:hAnsi="Times New Roman"/>
          <w:szCs w:val="21"/>
          <w:highlight w:val="none"/>
        </w:rPr>
      </w:pPr>
      <w:r>
        <w:rPr>
          <w:rFonts w:ascii="Times New Roman" w:hAnsi="Times New Roman"/>
          <w:szCs w:val="21"/>
          <w:highlight w:val="none"/>
        </w:rPr>
        <w:t xml:space="preserve">根据贵方</w:t>
      </w:r>
      <w:r>
        <w:rPr>
          <w:rFonts w:hint="eastAsia" w:ascii="Times New Roman" w:hAnsi="Times New Roman"/>
          <w:szCs w:val="21"/>
          <w:highlight w:val="none"/>
          <w:u w:val="single"/>
        </w:rPr>
        <w:t xml:space="preserve">                               项目（</w:t>
      </w:r>
      <w:r>
        <w:rPr>
          <w:rFonts w:ascii="Times New Roman" w:hAnsi="Times New Roman"/>
          <w:szCs w:val="21"/>
          <w:highlight w:val="none"/>
          <w:u w:val="single"/>
        </w:rPr>
        <w:t xml:space="preserve">项目编号</w:t>
      </w:r>
      <w:r>
        <w:rPr>
          <w:rFonts w:hint="eastAsia" w:ascii="Times New Roman" w:hAnsi="Times New Roman"/>
          <w:szCs w:val="21"/>
          <w:highlight w:val="none"/>
          <w:u w:val="single"/>
        </w:rPr>
        <w:t xml:space="preserve">： ）</w:t>
      </w:r>
      <w:r>
        <w:rPr>
          <w:rFonts w:ascii="Times New Roman" w:hAnsi="Times New Roman"/>
          <w:szCs w:val="21"/>
          <w:highlight w:val="none"/>
        </w:rPr>
        <w:t xml:space="preserve">的招标文件，正式授权下述签字人____________</w:t>
      </w:r>
      <w:r>
        <w:rPr>
          <w:rFonts w:hint="eastAsia" w:ascii="Times New Roman" w:hAnsi="Times New Roman"/>
          <w:szCs w:val="21"/>
          <w:highlight w:val="none"/>
        </w:rPr>
        <w:t xml:space="preserve">（</w:t>
      </w:r>
      <w:r>
        <w:rPr>
          <w:rFonts w:ascii="Times New Roman" w:hAnsi="Times New Roman"/>
          <w:szCs w:val="21"/>
          <w:highlight w:val="none"/>
        </w:rPr>
        <w:t xml:space="preserve">姓名和职务</w:t>
      </w:r>
      <w:r>
        <w:rPr>
          <w:rFonts w:hint="eastAsia" w:ascii="Times New Roman" w:hAnsi="Times New Roman"/>
          <w:szCs w:val="21"/>
          <w:highlight w:val="none"/>
        </w:rPr>
        <w:t xml:space="preserve">）</w:t>
      </w:r>
      <w:r>
        <w:rPr>
          <w:rFonts w:ascii="Times New Roman" w:hAnsi="Times New Roman"/>
          <w:szCs w:val="21"/>
          <w:highlight w:val="none"/>
        </w:rPr>
        <w:t xml:space="preserve">代表我方____________（投标人的名称），全权处理本次项目投标的有关事宜。</w:t>
      </w:r>
      <w:r/>
    </w:p>
    <w:p>
      <w:pPr>
        <w:ind w:firstLine="480"/>
        <w:jc w:val="left"/>
        <w:spacing w:line="42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据此函，__________签字人兹宣布同意如下：</w:t>
      </w:r>
      <w:r/>
    </w:p>
    <w:p>
      <w:pPr>
        <w:ind w:firstLine="480"/>
        <w:jc w:val="left"/>
        <w:spacing w:line="42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1.按招标文件规定的各项要求，向买方提供所需服务（包含与服务相关的货物）。</w:t>
      </w:r>
      <w:r/>
    </w:p>
    <w:p>
      <w:pPr>
        <w:ind w:firstLine="480"/>
        <w:jc w:val="left"/>
        <w:spacing w:line="42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3.我们已详细审核全部招标文件及其有效补充文件。</w:t>
      </w:r>
      <w:r/>
    </w:p>
    <w:p>
      <w:pPr>
        <w:ind w:firstLine="480"/>
        <w:jc w:val="left"/>
        <w:spacing w:line="42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s="Times New Roman"/>
          <w:sz w:val="24"/>
          <w:szCs w:val="21"/>
          <w:highlight w:val="none"/>
        </w:rPr>
      </w:pPr>
      <w:r>
        <w:rPr>
          <w:rFonts w:ascii="宋体" w:hAnsi="宋体" w:cs="Times New Roman"/>
          <w:sz w:val="24"/>
          <w:szCs w:val="21"/>
          <w:highlight w:val="none"/>
        </w:rPr>
        <w:t xml:space="preserve">5</w:t>
      </w:r>
      <w:r>
        <w:rPr>
          <w:rFonts w:hint="eastAsia" w:ascii="宋体" w:hAnsi="宋体" w:cs="Times New Roman"/>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s="Times New Roman"/>
          <w:sz w:val="24"/>
          <w:szCs w:val="21"/>
          <w:highlight w:val="none"/>
        </w:rPr>
      </w:pPr>
      <w:r>
        <w:rPr>
          <w:rFonts w:ascii="宋体" w:hAnsi="宋体" w:cs="Times New Roman"/>
          <w:sz w:val="24"/>
          <w:szCs w:val="21"/>
          <w:highlight w:val="none"/>
        </w:rPr>
        <w:t xml:space="preserve">6</w:t>
      </w:r>
      <w:r>
        <w:rPr>
          <w:rFonts w:hint="eastAsia" w:ascii="宋体" w:hAnsi="宋体" w:cs="Times New Roman"/>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s="Times New Roman"/>
          <w:sz w:val="24"/>
          <w:szCs w:val="21"/>
          <w:highlight w:val="none"/>
        </w:rPr>
      </w:pPr>
      <w:r>
        <w:rPr>
          <w:rFonts w:ascii="宋体" w:hAnsi="宋体" w:cs="Times New Roman"/>
          <w:sz w:val="24"/>
          <w:szCs w:val="21"/>
          <w:highlight w:val="none"/>
        </w:rPr>
        <w:t xml:space="preserve">7</w:t>
      </w:r>
      <w:r>
        <w:rPr>
          <w:rFonts w:hint="eastAsia" w:ascii="宋体" w:hAnsi="宋体" w:cs="Times New Roman"/>
          <w:sz w:val="24"/>
          <w:szCs w:val="21"/>
          <w:highlight w:val="none"/>
        </w:rPr>
        <w:t xml:space="preserve">.与本投标有关的正式通讯地址为：</w:t>
      </w:r>
      <w:r/>
    </w:p>
    <w:p>
      <w:pPr>
        <w:ind w:left="420" w:firstLine="480"/>
        <w:jc w:val="left"/>
        <w:spacing w:line="42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地          址：</w:t>
      </w:r>
      <w:r/>
    </w:p>
    <w:p>
      <w:pPr>
        <w:ind w:left="420" w:firstLine="480"/>
        <w:jc w:val="left"/>
        <w:spacing w:line="42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邮          编：</w:t>
      </w:r>
      <w:r/>
    </w:p>
    <w:p>
      <w:pPr>
        <w:ind w:left="420" w:firstLine="480"/>
        <w:jc w:val="left"/>
        <w:spacing w:line="42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电          话：</w:t>
      </w:r>
      <w:r/>
    </w:p>
    <w:p>
      <w:pPr>
        <w:ind w:left="420" w:firstLine="480"/>
        <w:jc w:val="left"/>
        <w:spacing w:line="42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传          真：</w:t>
      </w:r>
      <w:r/>
    </w:p>
    <w:p>
      <w:pPr>
        <w:ind w:left="420" w:firstLine="480"/>
        <w:jc w:val="left"/>
        <w:spacing w:line="42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投标人开户行：</w:t>
      </w:r>
      <w:r/>
    </w:p>
    <w:p>
      <w:pPr>
        <w:ind w:left="420" w:firstLine="480"/>
        <w:jc w:val="left"/>
        <w:spacing w:line="42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账          号： </w:t>
      </w:r>
      <w:r/>
    </w:p>
    <w:p>
      <w:pPr>
        <w:ind w:firstLine="42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r>
      <w:r/>
    </w:p>
    <w:p>
      <w:pPr>
        <w:ind w:firstLine="42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r>
      <w:r/>
    </w:p>
    <w:p>
      <w:pPr>
        <w:ind w:firstLine="420"/>
        <w:spacing w:line="360" w:lineRule="auto"/>
        <w:rPr>
          <w:rFonts w:ascii="Times New Roman" w:hAnsi="Times New Roman" w:cs="Times New Roman"/>
          <w:sz w:val="24"/>
          <w:szCs w:val="21"/>
          <w:highlight w:val="none"/>
        </w:rPr>
      </w:pPr>
      <w:r>
        <w:rPr>
          <w:rFonts w:hint="eastAsia" w:ascii="Times New Roman" w:hAnsi="Times New Roman" w:cs="Times New Roman"/>
          <w:sz w:val="24"/>
          <w:szCs w:val="21"/>
          <w:highlight w:val="none"/>
        </w:rPr>
        <w:t xml:space="preserve">投标人(加盖CA电子公章)：     </w:t>
      </w:r>
      <w:r/>
    </w:p>
    <w:p>
      <w:pPr>
        <w:ind w:firstLine="480"/>
        <w:spacing w:line="360" w:lineRule="auto"/>
        <w:rPr>
          <w:rFonts w:eastAsia="黑体"/>
          <w:bCs/>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hint="eastAsia" w:eastAsia="黑体"/>
          <w:bCs/>
          <w:sz w:val="24"/>
          <w:szCs w:val="24"/>
          <w:highlight w:val="none"/>
        </w:rPr>
        <w:t xml:space="preserve">日           期：___年____月____日</w:t>
      </w:r>
      <w:r/>
    </w:p>
    <w:p>
      <w:pPr>
        <w:spacing w:before="156" w:after="156" w:line="360" w:lineRule="auto"/>
        <w:tabs>
          <w:tab w:val="left" w:pos="576" w:leader="none"/>
        </w:tabs>
        <w:rPr>
          <w:rFonts w:ascii="Times New Roman" w:hAnsi="Times New Roman" w:eastAsia="黑体" w:cs="Times New Roman"/>
          <w:sz w:val="24"/>
          <w:szCs w:val="24"/>
          <w:highlight w:val="none"/>
        </w:rPr>
        <w:outlineLvl w:val="2"/>
      </w:pPr>
      <w:r/>
      <w:bookmarkStart w:id="21" w:name="_Toc18412"/>
      <w:r/>
      <w:bookmarkStart w:id="22" w:name="_Toc415494579"/>
      <w:r/>
      <w:bookmarkStart w:id="23" w:name="_Toc11859492"/>
      <w:r/>
      <w:bookmarkStart w:id="24" w:name="_Toc448069992"/>
      <w:r/>
      <w:bookmarkStart w:id="25" w:name="_Toc452541709"/>
      <w:r/>
      <w:bookmarkStart w:id="26" w:name="_Toc415494575"/>
      <w:r/>
      <w:bookmarkStart w:id="27" w:name="_Toc51"/>
      <w:r/>
      <w:bookmarkStart w:id="28" w:name="_Toc448069989"/>
      <w:r>
        <w:rPr>
          <w:rFonts w:ascii="Times New Roman" w:hAnsi="Times New Roman" w:eastAsia="黑体" w:cs="Times New Roman"/>
          <w:sz w:val="24"/>
          <w:szCs w:val="24"/>
          <w:highlight w:val="none"/>
        </w:rPr>
        <w:t xml:space="preserve">6.2 </w:t>
      </w:r>
      <w:bookmarkEnd w:id="21"/>
      <w:r/>
      <w:bookmarkEnd w:id="22"/>
      <w:r/>
      <w:bookmarkEnd w:id="23"/>
      <w:r/>
      <w:bookmarkEnd w:id="24"/>
      <w:r>
        <w:rPr>
          <w:rFonts w:hint="eastAsia" w:ascii="Times New Roman" w:hAnsi="Times New Roman" w:eastAsia="黑体" w:cs="Times New Roman"/>
          <w:sz w:val="24"/>
          <w:szCs w:val="24"/>
          <w:highlight w:val="none"/>
        </w:rPr>
        <w:t xml:space="preserve">开标一览表</w:t>
      </w:r>
      <w:r/>
    </w:p>
    <w:p>
      <w:pPr>
        <w:jc w:val="center"/>
        <w:spacing w:line="360" w:lineRule="auto"/>
        <w:rPr>
          <w:rFonts w:ascii="黑体" w:eastAsia="黑体" w:cs="Times New Roman"/>
          <w:sz w:val="28"/>
          <w:szCs w:val="24"/>
          <w:highlight w:val="none"/>
          <w:lang w:val="zh-TW"/>
        </w:rPr>
      </w:pPr>
      <w:r>
        <w:rPr>
          <w:rFonts w:hint="eastAsia" w:ascii="黑体" w:eastAsia="黑体" w:cs="Times New Roman"/>
          <w:sz w:val="28"/>
          <w:szCs w:val="24"/>
          <w:highlight w:val="none"/>
          <w:lang w:val="zh-TW"/>
        </w:rPr>
        <w:t xml:space="preserve">开标一览表(格式系统生成)：</w:t>
      </w:r>
      <w:r/>
    </w:p>
    <w:p>
      <w:pPr>
        <w:ind w:firstLine="480"/>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spacing w:line="440" w:lineRule="exact"/>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2"/>
        <w:spacing w:line="0" w:lineRule="atLeast"/>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投标人全称（加盖CA电子公章）：</w:t>
      </w:r>
      <w:r/>
    </w:p>
    <w:p>
      <w:pPr>
        <w:ind w:firstLine="482"/>
        <w:spacing w:line="0" w:lineRule="atLeast"/>
        <w:rPr>
          <w:rFonts w:ascii="Times New Roman" w:hAnsi="Times New Roman" w:cs="Times New Roman"/>
          <w:color w:val="000000"/>
          <w:sz w:val="24"/>
          <w:szCs w:val="24"/>
          <w:highlight w:val="none"/>
        </w:rPr>
      </w:pPr>
      <w:r>
        <w:rPr>
          <w:rFonts w:hint="eastAsia" w:ascii="宋体" w:hAnsi="宋体" w:cs="Times New Roman"/>
          <w:color w:val="000000"/>
          <w:sz w:val="24"/>
          <w:szCs w:val="24"/>
          <w:highlight w:val="none"/>
        </w:rPr>
        <w:t xml:space="preserve">项目名称：</w:t>
      </w:r>
      <w:r/>
    </w:p>
    <w:p>
      <w:pPr>
        <w:ind w:firstLine="482"/>
        <w:spacing w:line="0" w:lineRule="atLeast"/>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采购编号：                                   </w:t>
      </w:r>
      <w:r/>
    </w:p>
    <w:p>
      <w:pPr>
        <w:ind w:firstLine="482"/>
        <w:spacing w:line="0" w:lineRule="atLeast"/>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采购包号：</w:t>
      </w:r>
      <w:r/>
    </w:p>
    <w:tbl>
      <w:tblPr>
        <w:tblStyle w:val="9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s="Times New Roman"/>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Times New Roman"/>
                <w:color w:val="000000"/>
                <w:sz w:val="24"/>
                <w:szCs w:val="24"/>
                <w:highlight w:val="none"/>
              </w:rPr>
              <w:t xml:space="preserve">投标总报价</w:t>
            </w:r>
            <w:r/>
          </w:p>
        </w:tc>
      </w:tr>
      <w:tr>
        <w:trPr>
          <w:cantSplit/>
          <w:trHeight w:val="612"/>
        </w:trPr>
        <w:tc>
          <w:tcPr>
            <w:tcW w:w="8206" w:type="dxa"/>
            <w:vAlign w:val="center"/>
            <w:textDirection w:val="lrTb"/>
            <w:noWrap w:val="false"/>
          </w:tcPr>
          <w:p>
            <w:pPr>
              <w:jc w:val="left"/>
              <w:spacing w:line="500" w:lineRule="exact"/>
              <w:rPr>
                <w:rFonts w:hint="eastAsia" w:ascii="宋体" w:hAnsi="宋体" w:cs="Times New Roman"/>
                <w:color w:val="000000"/>
                <w:sz w:val="24"/>
                <w:szCs w:val="21"/>
                <w:highlight w:val="none"/>
              </w:rPr>
            </w:pPr>
            <w:r>
              <w:rPr>
                <w:rFonts w:hint="eastAsia" w:ascii="宋体" w:hAnsi="宋体" w:cs="宋体"/>
                <w:color w:val="000000"/>
                <w:sz w:val="24"/>
                <w:szCs w:val="24"/>
                <w:highlight w:val="none"/>
              </w:rPr>
              <w:t xml:space="preserve">小写：                             （人民币：元）</w:t>
            </w:r>
            <w:r/>
          </w:p>
        </w:tc>
      </w:tr>
    </w:tbl>
    <w:p>
      <w:pPr>
        <w:jc w:val="lef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rPr>
          <w:rFonts w:ascii="Times New Roman" w:hAnsi="Times New Roman" w:eastAsia="黑体" w:cs="Times New Roman"/>
          <w:sz w:val="24"/>
          <w:szCs w:val="24"/>
          <w:highlight w:val="none"/>
        </w:rPr>
      </w:pPr>
      <w:r/>
      <w:bookmarkStart w:id="29" w:name="_Toc4277"/>
      <w:r>
        <w:rPr>
          <w:rFonts w:hint="eastAsia" w:ascii="Times New Roman" w:hAnsi="Times New Roman" w:eastAsia="黑体" w:cs="Times New Roman"/>
          <w:sz w:val="24"/>
          <w:szCs w:val="24"/>
          <w:highlight w:val="none"/>
        </w:rPr>
        <w:br w:type="page" w:clear="all"/>
      </w:r>
      <w:r/>
    </w:p>
    <w:p>
      <w:pPr>
        <w:spacing w:line="360" w:lineRule="auto"/>
        <w:rPr>
          <w:rFonts w:ascii="黑体" w:eastAsia="黑体" w:cs="Times New Roman"/>
          <w:sz w:val="28"/>
          <w:szCs w:val="24"/>
          <w:highlight w:val="none"/>
          <w:lang w:val="zh-TW" w:eastAsia="zh-TW"/>
        </w:rPr>
        <w:outlineLvl w:val="2"/>
      </w:pPr>
      <w:r>
        <w:rPr>
          <w:rFonts w:hint="eastAsia" w:ascii="Times New Roman" w:hAnsi="Times New Roman" w:eastAsia="黑体" w:cs="Times New Roman"/>
          <w:sz w:val="24"/>
          <w:szCs w:val="24"/>
          <w:highlight w:val="none"/>
        </w:rPr>
        <w:t xml:space="preserve">6.3分项报价表</w:t>
      </w:r>
      <w:bookmarkEnd w:id="29"/>
      <w:r/>
      <w:r/>
    </w:p>
    <w:p>
      <w:pPr>
        <w:jc w:val="center"/>
        <w:spacing w:line="560" w:lineRule="exact"/>
        <w:rPr>
          <w:rFonts w:hint="eastAsia"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 xml:space="preserve"> 投标分项报价表（采购包号：</w:t>
      </w:r>
      <w:r>
        <w:rPr>
          <w:rFonts w:hint="eastAsia" w:ascii="Times New Roman" w:hAnsi="Times New Roman" w:eastAsia="方正仿宋_GBK" w:cs="Times New Roman"/>
          <w:color w:val="000000"/>
          <w:sz w:val="32"/>
          <w:szCs w:val="32"/>
          <w:highlight w:val="none"/>
        </w:rPr>
        <w:t xml:space="preserve">XX</w:t>
      </w:r>
      <w:r>
        <w:rPr>
          <w:rFonts w:hint="eastAsia" w:ascii="方正黑体_GBK" w:hAnsi="方正黑体_GBK" w:eastAsia="方正黑体_GBK" w:cs="方正黑体_GBK"/>
          <w:bCs/>
          <w:sz w:val="32"/>
          <w:szCs w:val="32"/>
          <w:highlight w:val="none"/>
        </w:rPr>
        <w:t xml:space="preserve">）</w:t>
      </w:r>
      <w:r/>
    </w:p>
    <w:p>
      <w:pPr>
        <w:jc w:val="center"/>
        <w:rPr>
          <w:rFonts w:hint="eastAsia" w:ascii="宋体" w:hAnsi="宋体"/>
          <w:b/>
          <w:sz w:val="24"/>
          <w:szCs w:val="24"/>
          <w:highlight w:val="none"/>
        </w:rPr>
      </w:pPr>
      <w:r>
        <w:rPr>
          <w:rFonts w:hint="eastAsia" w:ascii="宋体" w:hAnsi="宋体"/>
          <w:b/>
          <w:sz w:val="24"/>
          <w:szCs w:val="24"/>
          <w:highlight w:val="none"/>
        </w:rPr>
      </w:r>
      <w:r/>
    </w:p>
    <w:tbl>
      <w:tblPr>
        <w:tblStyle w:val="917"/>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6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00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p>
        </w:tc>
        <w:tc>
          <w:tcPr>
            <w:tcW w:w="148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p>
        </w:tc>
        <w:tc>
          <w:tcPr>
            <w:tcW w:w="177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交付期/服务期</w:t>
            </w:r>
            <w:r/>
          </w:p>
        </w:tc>
        <w:tc>
          <w:tcPr>
            <w:tcW w:w="126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148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p>
        </w:tc>
        <w:tc>
          <w:tcPr>
            <w:tcW w:w="177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6" w:type="dxa"/>
            <w:vAlign w:val="center"/>
            <w:textDirection w:val="lrTb"/>
            <w:noWrap w:val="false"/>
          </w:tcPr>
          <w:p>
            <w:pPr>
              <w:jc w:val="center"/>
              <w:spacing w:line="0" w:lineRule="atLeast"/>
              <w:rPr>
                <w:rFonts w:hint="eastAsia"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tc>
        <w:tc>
          <w:tcPr>
            <w:tcW w:w="126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8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7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w:t>
            </w:r>
            <w:r/>
          </w:p>
        </w:tc>
        <w:tc>
          <w:tcPr>
            <w:tcW w:w="124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6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8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7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87"/>
        </w:trPr>
        <w:tc>
          <w:tcPr>
            <w:gridSpan w:val="7"/>
            <w:tcW w:w="8339" w:type="dxa"/>
            <w:vAlign w:val="center"/>
            <w:textDirection w:val="lrTb"/>
            <w:noWrap w:val="false"/>
          </w:tcPr>
          <w:p>
            <w:pPr>
              <w:spacing w:line="0" w:lineRule="atLeast"/>
              <w:rPr>
                <w:rFonts w:hint="eastAsia" w:ascii="宋体" w:hAnsi="宋体"/>
                <w:sz w:val="24"/>
                <w:szCs w:val="24"/>
                <w:highlight w:val="none"/>
                <w:u w:val="single"/>
              </w:rPr>
            </w:pPr>
            <w:r>
              <w:rPr>
                <w:rFonts w:hint="eastAsia" w:ascii="宋体" w:hAnsi="宋体"/>
                <w:sz w:val="24"/>
                <w:szCs w:val="24"/>
                <w:highlight w:val="none"/>
              </w:rPr>
              <w:t xml:space="preserve">投标总报价（人民币：元）</w:t>
            </w:r>
            <w:r>
              <w:rPr>
                <w:rFonts w:hint="eastAsia" w:ascii="宋体" w:hAnsi="宋体"/>
                <w:sz w:val="24"/>
                <w:szCs w:val="24"/>
                <w:highlight w:val="none"/>
                <w:u w:val="single"/>
              </w:rPr>
              <w:t xml:space="preserve">                          </w:t>
            </w:r>
            <w:r/>
          </w:p>
        </w:tc>
      </w:tr>
    </w:tbl>
    <w:p>
      <w:pPr>
        <w:spacing w:line="0" w:lineRule="atLeast"/>
        <w:rPr>
          <w:rFonts w:hint="eastAsia" w:ascii="宋体" w:hAnsi="宋体"/>
          <w:sz w:val="24"/>
          <w:szCs w:val="24"/>
          <w:highlight w:val="none"/>
        </w:rPr>
      </w:pPr>
      <w:r>
        <w:rPr>
          <w:rFonts w:hint="eastAsia" w:ascii="宋体" w:hAnsi="宋体"/>
          <w:sz w:val="24"/>
          <w:szCs w:val="24"/>
          <w:highlight w:val="none"/>
        </w:rPr>
        <w:t xml:space="preserve">备注：</w:t>
      </w:r>
      <w:r/>
    </w:p>
    <w:p>
      <w:pPr>
        <w:spacing w:line="0" w:lineRule="atLeast"/>
        <w:rPr>
          <w:rFonts w:hint="eastAsia" w:ascii="宋体" w:hAnsi="宋体"/>
          <w:sz w:val="24"/>
          <w:szCs w:val="24"/>
          <w:highlight w:val="none"/>
        </w:rPr>
      </w:pPr>
      <w:r>
        <w:rPr>
          <w:rFonts w:hint="eastAsia" w:ascii="宋体" w:hAnsi="宋体"/>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hint="eastAsia" w:ascii="宋体" w:hAnsi="宋体"/>
          <w:sz w:val="24"/>
          <w:szCs w:val="24"/>
          <w:highlight w:val="none"/>
        </w:rPr>
      </w:pPr>
      <w:r>
        <w:rPr>
          <w:rFonts w:hint="eastAsia" w:ascii="宋体" w:hAnsi="宋体"/>
          <w:sz w:val="24"/>
          <w:szCs w:val="24"/>
          <w:highlight w:val="none"/>
        </w:rPr>
        <w:t xml:space="preserve">2.“投标分项报价表”中“投标总报价”数额应当与“开标一览表”中“投标总报价”数额一致。</w:t>
      </w:r>
      <w:r/>
    </w:p>
    <w:p>
      <w:pPr>
        <w:spacing w:line="0" w:lineRule="atLeast"/>
        <w:rPr>
          <w:rFonts w:hint="eastAsia" w:ascii="宋体" w:hAnsi="宋体"/>
          <w:sz w:val="24"/>
          <w:szCs w:val="24"/>
          <w:highlight w:val="none"/>
        </w:rPr>
      </w:pPr>
      <w:r>
        <w:rPr>
          <w:rFonts w:hint="eastAsia" w:ascii="宋体" w:hAnsi="宋体"/>
          <w:sz w:val="24"/>
          <w:szCs w:val="24"/>
          <w:highlight w:val="none"/>
        </w:rPr>
        <w:t xml:space="preserve">3.项目经办人可以根据项目实际需要对表格结构进行调整。</w:t>
      </w:r>
      <w:r/>
    </w:p>
    <w:p>
      <w:pPr>
        <w:spacing w:line="0" w:lineRule="atLeast"/>
        <w:rPr>
          <w:rFonts w:hint="eastAsia" w:ascii="宋体" w:hAnsi="宋体"/>
          <w:sz w:val="24"/>
          <w:szCs w:val="24"/>
          <w:highlight w:val="none"/>
        </w:rPr>
      </w:pPr>
      <w:r>
        <w:rPr>
          <w:rFonts w:hint="eastAsia" w:ascii="宋体" w:hAnsi="宋体"/>
          <w:sz w:val="24"/>
          <w:szCs w:val="24"/>
          <w:highlight w:val="none"/>
        </w:rPr>
        <w:t xml:space="preserve">4.投标供应商应按照采购文件的相关要求填写此表。</w:t>
      </w:r>
      <w:r/>
    </w:p>
    <w:p>
      <w:pPr>
        <w:jc w:val="center"/>
        <w:spacing w:line="560" w:lineRule="exact"/>
        <w:rPr>
          <w:rFonts w:hint="eastAsia"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r>
      <w:r/>
    </w:p>
    <w:p>
      <w:pPr>
        <w:jc w:val="center"/>
        <w:spacing w:line="560" w:lineRule="exact"/>
        <w:rPr>
          <w:rFonts w:hint="eastAsia"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r>
      <w:r/>
    </w:p>
    <w:p>
      <w:pPr>
        <w:jc w:val="left"/>
        <w:rPr>
          <w:rFonts w:ascii="Times New Roman" w:hAnsi="Times New Roman" w:eastAsia="黑体" w:cs="Times New Roman"/>
          <w:sz w:val="24"/>
          <w:szCs w:val="24"/>
          <w:highlight w:val="none"/>
        </w:rPr>
      </w:pPr>
      <w:r>
        <w:rPr>
          <w:rFonts w:ascii="Times New Roman" w:hAnsi="Times New Roman" w:cs="Times New Roman"/>
          <w:sz w:val="24"/>
          <w:szCs w:val="24"/>
          <w:highlight w:val="none"/>
        </w:rPr>
        <w:br w:type="page" w:clear="all"/>
      </w:r>
      <w:bookmarkStart w:id="30" w:name="_Toc3593"/>
      <w:r>
        <w:rPr>
          <w:rFonts w:ascii="Times New Roman" w:hAnsi="Times New Roman" w:eastAsia="黑体" w:cs="Times New Roman"/>
          <w:sz w:val="24"/>
          <w:szCs w:val="24"/>
          <w:highlight w:val="none"/>
        </w:rPr>
        <w:t xml:space="preserve">6.</w:t>
      </w:r>
      <w:r>
        <w:rPr>
          <w:rFonts w:hint="eastAsia" w:ascii="Times New Roman" w:hAnsi="Times New Roman" w:eastAsia="黑体" w:cs="Times New Roman"/>
          <w:sz w:val="24"/>
          <w:szCs w:val="24"/>
          <w:highlight w:val="none"/>
        </w:rPr>
        <w:t xml:space="preserve">4</w:t>
      </w:r>
      <w:r>
        <w:rPr>
          <w:rFonts w:ascii="Times New Roman" w:hAnsi="Times New Roman" w:eastAsia="黑体" w:cs="Times New Roman"/>
          <w:sz w:val="24"/>
          <w:szCs w:val="24"/>
          <w:highlight w:val="none"/>
        </w:rPr>
        <w:t xml:space="preserve"> </w:t>
      </w:r>
      <w:bookmarkEnd w:id="30"/>
      <w:r>
        <w:rPr>
          <w:rFonts w:hint="eastAsia" w:ascii="Times New Roman" w:hAnsi="Times New Roman" w:eastAsia="黑体" w:cs="Times New Roman"/>
          <w:sz w:val="24"/>
          <w:szCs w:val="24"/>
          <w:highlight w:val="none"/>
        </w:rPr>
        <w:t xml:space="preserve">商务要求响应及偏离表</w:t>
      </w:r>
      <w:r/>
    </w:p>
    <w:p>
      <w:pPr>
        <w:jc w:val="center"/>
        <w:rPr>
          <w:rFonts w:hint="eastAsia" w:ascii="宋体" w:hAnsi="宋体"/>
          <w:b/>
          <w:sz w:val="24"/>
          <w:szCs w:val="24"/>
          <w:highlight w:val="none"/>
        </w:rPr>
      </w:pPr>
      <w:r/>
      <w:bookmarkStart w:id="31" w:name="_Toc4854"/>
      <w:r/>
      <w:bookmarkStart w:id="32" w:name="_Toc14276"/>
      <w:r/>
      <w:r/>
    </w:p>
    <w:p>
      <w:pPr>
        <w:jc w:val="center"/>
        <w:rPr>
          <w:rFonts w:hint="eastAsia" w:ascii="宋体" w:hAnsi="宋体"/>
          <w:b/>
          <w:sz w:val="24"/>
          <w:szCs w:val="24"/>
          <w:highlight w:val="none"/>
        </w:rPr>
      </w:pPr>
      <w:r>
        <w:rPr>
          <w:rFonts w:hint="eastAsia" w:ascii="宋体" w:hAnsi="宋体"/>
          <w:b/>
          <w:sz w:val="24"/>
          <w:szCs w:val="24"/>
          <w:highlight w:val="none"/>
        </w:rPr>
        <w:t xml:space="preserve">商务要求响应及偏离表（采购包号：**）</w:t>
      </w:r>
      <w:r/>
    </w:p>
    <w:tbl>
      <w:tblPr>
        <w:tblStyle w:val="9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商务要求 </w:t>
            </w:r>
            <w:r/>
          </w:p>
        </w:tc>
        <w:tc>
          <w:tcPr>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附件  证明材料1，证明材料2，……</w:t>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备注：</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1.投标人需对招标文件商务要求中非实质性要求（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sz w:val="24"/>
          <w:szCs w:val="24"/>
          <w:highlight w:val="none"/>
        </w:rPr>
        <w:t xml:space="preserve">部分或未加*号条款</w:t>
      </w:r>
      <w:r>
        <w:rPr>
          <w:rFonts w:hint="eastAsia" w:ascii="宋体" w:hAnsi="宋体" w:cs="宋体"/>
          <w:sz w:val="24"/>
          <w:szCs w:val="24"/>
          <w:highlight w:val="none"/>
        </w:rPr>
        <w:t xml:space="preserve">）逐条做出明确响应。</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2.如果招标文件要求提供证明材料，投标人需将证明材料列于该表之下。</w:t>
      </w:r>
      <w:bookmarkEnd w:id="31"/>
      <w:r/>
      <w:bookmarkEnd w:id="32"/>
      <w:r/>
      <w:r/>
    </w:p>
    <w:p>
      <w:pPr>
        <w:spacing w:line="460" w:lineRule="exact"/>
        <w:widowControl/>
        <w:rPr>
          <w:rFonts w:ascii="Times New Roman" w:hAnsi="Times New Roman" w:eastAsia="仿宋_GB2312" w:cs="Times New Roman"/>
          <w:sz w:val="32"/>
          <w:szCs w:val="28"/>
          <w:highlight w:val="none"/>
        </w:rPr>
      </w:pPr>
      <w:r>
        <w:rPr>
          <w:rFonts w:ascii="Times New Roman" w:hAnsi="Times New Roman" w:eastAsia="仿宋_GB2312" w:cs="Times New Roman"/>
          <w:sz w:val="32"/>
          <w:szCs w:val="28"/>
          <w:highlight w:val="none"/>
        </w:rPr>
      </w:r>
      <w:r/>
    </w:p>
    <w:p>
      <w:pPr>
        <w:jc w:val="left"/>
        <w:widowControl/>
        <w:rPr>
          <w:rFonts w:ascii="黑体" w:eastAsia="黑体" w:cs="黑体"/>
          <w:sz w:val="24"/>
          <w:szCs w:val="24"/>
          <w:highlight w:val="none"/>
        </w:rPr>
        <w:outlineLvl w:val="2"/>
      </w:pPr>
      <w:r/>
      <w:bookmarkStart w:id="33" w:name="_Toc73708347"/>
      <w:r/>
      <w:bookmarkStart w:id="34" w:name="_Toc535"/>
      <w:r/>
      <w:bookmarkStart w:id="35" w:name="_Toc11859496"/>
      <w:r/>
      <w:bookmarkStart w:id="36" w:name="_Toc5105"/>
      <w:r>
        <w:rPr>
          <w:rFonts w:ascii="黑体" w:eastAsia="黑体" w:cs="黑体"/>
          <w:sz w:val="24"/>
          <w:szCs w:val="24"/>
          <w:highlight w:val="none"/>
        </w:rPr>
        <w:br w:type="page" w:clear="all"/>
      </w:r>
      <w:bookmarkStart w:id="37" w:name="_Toc20209"/>
      <w:r>
        <w:rPr>
          <w:rFonts w:hint="eastAsia" w:ascii="黑体" w:eastAsia="黑体" w:cs="黑体"/>
          <w:sz w:val="24"/>
          <w:szCs w:val="24"/>
          <w:highlight w:val="none"/>
        </w:rPr>
        <w:t xml:space="preserve">6.5 </w:t>
      </w:r>
      <w:bookmarkEnd w:id="33"/>
      <w:r/>
      <w:bookmarkEnd w:id="34"/>
      <w:r/>
      <w:bookmarkEnd w:id="35"/>
      <w:r/>
      <w:bookmarkEnd w:id="36"/>
      <w:r/>
      <w:bookmarkEnd w:id="37"/>
      <w:r>
        <w:rPr>
          <w:rFonts w:hint="eastAsia" w:ascii="黑体" w:eastAsia="黑体" w:cs="黑体"/>
          <w:sz w:val="24"/>
          <w:szCs w:val="24"/>
          <w:highlight w:val="none"/>
        </w:rPr>
        <w:t xml:space="preserve">技术要求响应及偏离表</w:t>
      </w:r>
      <w:r/>
    </w:p>
    <w:p>
      <w:pPr>
        <w:jc w:val="center"/>
        <w:rPr>
          <w:rFonts w:hint="eastAsia" w:ascii="宋体" w:hAnsi="宋体"/>
          <w:b/>
          <w:sz w:val="24"/>
          <w:szCs w:val="24"/>
          <w:highlight w:val="none"/>
        </w:rPr>
      </w:pPr>
      <w:r/>
      <w:bookmarkStart w:id="38" w:name="_Toc25027"/>
      <w:r/>
      <w:bookmarkStart w:id="39" w:name="_Toc30587"/>
      <w:r/>
      <w:r/>
    </w:p>
    <w:p>
      <w:pPr>
        <w:jc w:val="center"/>
        <w:rPr>
          <w:rFonts w:hint="eastAsia" w:ascii="宋体" w:hAnsi="宋体"/>
          <w:b/>
          <w:sz w:val="24"/>
          <w:szCs w:val="24"/>
          <w:highlight w:val="none"/>
        </w:rPr>
      </w:pPr>
      <w:r>
        <w:rPr>
          <w:rFonts w:hint="eastAsia" w:ascii="宋体" w:hAnsi="宋体"/>
          <w:b/>
          <w:sz w:val="24"/>
          <w:szCs w:val="24"/>
          <w:highlight w:val="none"/>
        </w:rPr>
        <w:t xml:space="preserve">技术要求响应及偏离表（采购包号：**）</w:t>
      </w:r>
      <w:r/>
    </w:p>
    <w:tbl>
      <w:tblPr>
        <w:tblStyle w:val="9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附件  证明材料1，证明材料2，……</w:t>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备注：</w:t>
      </w:r>
      <w:r/>
    </w:p>
    <w:p>
      <w:pPr>
        <w:spacing w:line="400" w:lineRule="exact"/>
        <w:rPr>
          <w:rFonts w:hint="eastAsia" w:ascii="宋体" w:hAnsi="宋体"/>
          <w:sz w:val="24"/>
          <w:szCs w:val="24"/>
          <w:highlight w:val="none"/>
        </w:rPr>
      </w:pPr>
      <w:r>
        <w:rPr>
          <w:rFonts w:hint="eastAsia" w:ascii="宋体" w:hAnsi="宋体" w:cs="宋体"/>
          <w:sz w:val="24"/>
          <w:szCs w:val="24"/>
          <w:highlight w:val="none"/>
        </w:rPr>
        <w:t xml:space="preserve">1.投标人需对招标文件技术要求中非实质性要求（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sz w:val="24"/>
          <w:szCs w:val="24"/>
          <w:highlight w:val="none"/>
        </w:rPr>
        <w:t xml:space="preserve">部分或未加*号条款</w:t>
      </w:r>
      <w:r>
        <w:rPr>
          <w:rFonts w:hint="eastAsia" w:ascii="宋体" w:hAnsi="宋体" w:cs="宋体"/>
          <w:sz w:val="24"/>
          <w:szCs w:val="24"/>
          <w:highlight w:val="none"/>
        </w:rPr>
        <w:t xml:space="preserve">）</w:t>
      </w:r>
      <w:r>
        <w:rPr>
          <w:rFonts w:hint="eastAsia" w:ascii="宋体" w:hAnsi="宋体"/>
          <w:sz w:val="24"/>
          <w:szCs w:val="24"/>
          <w:highlight w:val="none"/>
        </w:rPr>
        <w:t xml:space="preserve">逐条做出明确响应。</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2.如果招标文件要求提供证明材料，投标人需将证明材料列于该表之下。</w:t>
      </w:r>
      <w:bookmarkEnd w:id="38"/>
      <w:r/>
      <w:bookmarkEnd w:id="39"/>
      <w:r/>
      <w:r/>
    </w:p>
    <w:p>
      <w:pPr>
        <w:jc w:val="center"/>
        <w:spacing w:before="156" w:after="156"/>
        <w:widowControl/>
        <w:rPr>
          <w:rFonts w:ascii="Times New Roman" w:hAnsi="Times New Roman" w:eastAsia="黑体" w:cs="Times New Roman"/>
          <w:b/>
          <w:sz w:val="36"/>
          <w:szCs w:val="24"/>
          <w:highlight w:val="none"/>
        </w:rPr>
      </w:pPr>
      <w:r>
        <w:rPr>
          <w:rFonts w:ascii="Times New Roman" w:hAnsi="Times New Roman" w:eastAsia="黑体" w:cs="Times New Roman"/>
          <w:b/>
          <w:sz w:val="36"/>
          <w:szCs w:val="24"/>
          <w:highlight w:val="none"/>
        </w:rPr>
        <w:br w:type="page" w:clear="all"/>
      </w:r>
      <w:bookmarkStart w:id="40" w:name="_Hlt26955054"/>
      <w:r/>
      <w:bookmarkEnd w:id="40"/>
      <w:r/>
      <w:r/>
    </w:p>
    <w:p>
      <w:pPr>
        <w:jc w:val="left"/>
        <w:widowControl/>
        <w:rPr>
          <w:rFonts w:ascii="黑体" w:eastAsia="黑体" w:cs="黑体"/>
          <w:bCs/>
          <w:sz w:val="24"/>
          <w:szCs w:val="24"/>
          <w:highlight w:val="none"/>
        </w:rPr>
      </w:pPr>
      <w:r/>
      <w:bookmarkStart w:id="41" w:name="_Toc4505"/>
      <w:r>
        <w:rPr>
          <w:rFonts w:hint="eastAsia" w:ascii="黑体" w:eastAsia="黑体" w:cs="黑体"/>
          <w:bCs/>
          <w:sz w:val="24"/>
          <w:szCs w:val="24"/>
          <w:highlight w:val="none"/>
        </w:rPr>
        <w:t xml:space="preserve">6.6服务方案</w:t>
      </w:r>
      <w:bookmarkEnd w:id="41"/>
      <w:r/>
      <w:r/>
    </w:p>
    <w:p>
      <w:pPr>
        <w:jc w:val="left"/>
        <w:widowControl/>
        <w:rPr>
          <w:rFonts w:ascii="黑体" w:eastAsia="黑体" w:cs="黑体"/>
          <w:bCs/>
          <w:sz w:val="24"/>
          <w:szCs w:val="24"/>
          <w:highlight w:val="none"/>
        </w:rPr>
      </w:pPr>
      <w:r>
        <w:rPr>
          <w:rFonts w:ascii="黑体" w:eastAsia="黑体" w:cs="黑体"/>
          <w:bCs/>
          <w:sz w:val="24"/>
          <w:szCs w:val="24"/>
          <w:highlight w:val="none"/>
        </w:rPr>
      </w:r>
      <w:r/>
    </w:p>
    <w:p>
      <w:pPr>
        <w:jc w:val="left"/>
        <w:widowControl/>
        <w:rPr>
          <w:rFonts w:ascii="黑体" w:eastAsia="黑体" w:cs="黑体"/>
          <w:bCs/>
          <w:sz w:val="24"/>
          <w:szCs w:val="24"/>
          <w:highlight w:val="none"/>
        </w:rPr>
      </w:pPr>
      <w:r>
        <w:rPr>
          <w:rFonts w:hint="eastAsia" w:ascii="黑体" w:eastAsia="黑体" w:cs="黑体"/>
          <w:bCs/>
          <w:sz w:val="24"/>
          <w:szCs w:val="24"/>
          <w:highlight w:val="none"/>
        </w:rPr>
        <w:t xml:space="preserve">6.7服务能力</w:t>
      </w:r>
      <w:r/>
    </w:p>
    <w:p>
      <w:pPr>
        <w:jc w:val="left"/>
        <w:widowControl/>
        <w:rPr>
          <w:rFonts w:ascii="黑体" w:eastAsia="黑体" w:cs="黑体"/>
          <w:bCs/>
          <w:sz w:val="24"/>
          <w:szCs w:val="24"/>
          <w:highlight w:val="none"/>
        </w:rPr>
      </w:pPr>
      <w:r>
        <w:rPr>
          <w:rFonts w:ascii="黑体" w:eastAsia="黑体" w:cs="黑体"/>
          <w:bCs/>
          <w:sz w:val="24"/>
          <w:szCs w:val="24"/>
          <w:highlight w:val="none"/>
        </w:rPr>
      </w:r>
      <w:r/>
    </w:p>
    <w:p>
      <w:pPr>
        <w:jc w:val="left"/>
        <w:widowControl/>
        <w:rPr>
          <w:rFonts w:ascii="黑体" w:eastAsia="黑体" w:cs="黑体"/>
          <w:bCs/>
          <w:sz w:val="24"/>
          <w:szCs w:val="24"/>
          <w:highlight w:val="none"/>
        </w:rPr>
      </w:pPr>
      <w:r>
        <w:rPr>
          <w:rFonts w:ascii="黑体" w:eastAsia="黑体" w:cs="黑体"/>
          <w:bCs/>
          <w:sz w:val="24"/>
          <w:szCs w:val="24"/>
          <w:highlight w:val="none"/>
        </w:rPr>
      </w:r>
      <w:r/>
    </w:p>
    <w:p>
      <w:pPr>
        <w:jc w:val="left"/>
        <w:widowControl/>
        <w:rPr>
          <w:rFonts w:ascii="黑体" w:eastAsia="黑体" w:cs="黑体"/>
          <w:bCs/>
          <w:sz w:val="24"/>
          <w:szCs w:val="24"/>
          <w:highlight w:val="none"/>
        </w:rPr>
      </w:pPr>
      <w:r>
        <w:rPr>
          <w:rFonts w:hint="eastAsia" w:ascii="黑体" w:eastAsia="黑体" w:cs="黑体"/>
          <w:bCs/>
          <w:sz w:val="24"/>
          <w:szCs w:val="24"/>
          <w:highlight w:val="none"/>
        </w:rPr>
        <w:t xml:space="preserve">6.8对应详细评审的其他要求项目</w:t>
      </w:r>
      <w:r>
        <w:rPr>
          <w:rFonts w:hint="eastAsia" w:ascii="黑体" w:eastAsia="黑体" w:cs="黑体"/>
          <w:bCs/>
          <w:sz w:val="24"/>
          <w:szCs w:val="24"/>
          <w:highlight w:val="none"/>
        </w:rPr>
        <w:br w:type="page" w:clear="all"/>
      </w:r>
      <w:r/>
    </w:p>
    <w:p>
      <w:pPr>
        <w:ind w:right="181"/>
        <w:spacing w:line="360" w:lineRule="auto"/>
        <w:rPr>
          <w:rFonts w:ascii="黑体" w:eastAsia="黑体" w:cs="黑体"/>
          <w:bCs/>
          <w:sz w:val="24"/>
          <w:szCs w:val="24"/>
          <w:highlight w:val="none"/>
        </w:rPr>
        <w:outlineLvl w:val="2"/>
      </w:pPr>
      <w:r/>
      <w:bookmarkStart w:id="42" w:name="_Toc14491"/>
      <w:r>
        <w:rPr>
          <w:rFonts w:hint="eastAsia" w:ascii="黑体" w:eastAsia="黑体" w:cs="黑体"/>
          <w:bCs/>
          <w:sz w:val="24"/>
          <w:szCs w:val="24"/>
          <w:highlight w:val="none"/>
        </w:rPr>
        <w:t xml:space="preserve">6.9 </w:t>
      </w:r>
      <w:r>
        <w:rPr>
          <w:rFonts w:ascii="Times New Roman" w:hAnsi="Times New Roman" w:eastAsia="黑体" w:cs="Times New Roman"/>
          <w:sz w:val="24"/>
          <w:szCs w:val="24"/>
          <w:highlight w:val="none"/>
        </w:rPr>
        <w:t xml:space="preserve">资格证明文件</w:t>
      </w:r>
      <w:bookmarkEnd w:id="42"/>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文件1 提供法人或者其他组织的营业执照等证明文件，如投标人为自然人的，提供其身份证明</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spacing w:line="400" w:lineRule="exact"/>
        <w:rPr>
          <w:rFonts w:ascii="宋体" w:cs="宋体"/>
          <w:sz w:val="24"/>
          <w:szCs w:val="24"/>
          <w:highlight w:val="none"/>
        </w:rPr>
      </w:pPr>
      <w:r>
        <w:rPr>
          <w:rFonts w:hint="eastAsia" w:ascii="宋体" w:cs="宋体"/>
          <w:sz w:val="24"/>
          <w:szCs w:val="24"/>
          <w:highlight w:val="none"/>
        </w:rPr>
        <w:t xml:space="preserve">文件2 授权委托书（</w:t>
      </w:r>
      <w:r>
        <w:rPr>
          <w:rFonts w:hint="eastAsia" w:ascii="宋体" w:cs="宋体"/>
          <w:sz w:val="24"/>
          <w:szCs w:val="24"/>
          <w:highlight w:val="none"/>
        </w:rPr>
        <w:t xml:space="preserve">格式见附件1</w:t>
      </w:r>
      <w:r>
        <w:rPr>
          <w:rFonts w:hint="eastAsia" w:ascii="宋体" w:cs="宋体"/>
          <w:sz w:val="24"/>
          <w:szCs w:val="24"/>
          <w:highlight w:val="none"/>
        </w:rPr>
        <w:t xml:space="preserve">）</w:t>
      </w:r>
      <w:r/>
    </w:p>
    <w:p>
      <w:pPr>
        <w:ind w:firstLine="480"/>
        <w:spacing w:line="400" w:lineRule="exact"/>
        <w:rPr>
          <w:rFonts w:ascii="宋体" w:cs="宋体"/>
          <w:sz w:val="24"/>
          <w:szCs w:val="24"/>
          <w:highlight w:val="none"/>
        </w:rPr>
      </w:pPr>
      <w:r>
        <w:rPr>
          <w:rFonts w:ascii="宋体" w:cs="宋体"/>
          <w:sz w:val="24"/>
          <w:szCs w:val="24"/>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文件3 供应商须具有良好的商业信誉和健全的财务会计制度（提供由第三方专业机构出具的2025年度财务审计报告（财务审计报告至少包含资产负债表、利润表、现金流量表、第三方专业机构盖章和注册会计师签字页加盖供应商公章）或投标截止时间前近半年内任一月的财务报表（至少包括资产负债表和利润表）加盖供应商公章或投标截止时间前半年内银行出具的企业资信证明加盖供应商公章，法人或者其他组织成立未满一年的无需提供）；</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文件4</w:t>
      </w:r>
      <w:r>
        <w:rPr>
          <w:rFonts w:ascii="Times New Roman" w:hAnsi="Times New Roman" w:cs="Times New Roman"/>
          <w:sz w:val="24"/>
          <w:szCs w:val="24"/>
          <w:highlight w:val="none"/>
        </w:rPr>
        <w:t xml:space="preserve"> </w:t>
      </w:r>
      <w:r>
        <w:rPr>
          <w:rFonts w:hint="eastAsia" w:ascii="Times New Roman" w:hAnsi="Times New Roman" w:cs="Times New Roman"/>
          <w:sz w:val="24"/>
          <w:szCs w:val="24"/>
          <w:highlight w:val="none"/>
        </w:rPr>
        <w:t xml:space="preserve">在提交投标文件截止时间前一年内（至少一个月）依法缴纳税收和社会保障资金的有效证明材料（投标人依法享受缓缴、免缴税收或社会保障资金的，须提供有效证明材料（扫描上传）</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文件5 具备履行合同所必需的设备和专业技术能力的书面声明（</w:t>
      </w:r>
      <w:r>
        <w:rPr>
          <w:rFonts w:hint="eastAsia" w:ascii="Times New Roman" w:hAnsi="Times New Roman" w:cs="Times New Roman"/>
          <w:sz w:val="24"/>
          <w:szCs w:val="24"/>
          <w:highlight w:val="none"/>
        </w:rPr>
        <w:t xml:space="preserve">格式见附件2</w:t>
      </w:r>
      <w:r>
        <w:rPr>
          <w:rFonts w:hint="eastAsia" w:ascii="Times New Roman" w:hAnsi="Times New Roman" w:cs="Times New Roman"/>
          <w:sz w:val="24"/>
          <w:szCs w:val="24"/>
          <w:highlight w:val="none"/>
        </w:rPr>
        <w:t xml:space="preserve">）</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文件6</w:t>
      </w:r>
      <w:r>
        <w:rPr>
          <w:rFonts w:ascii="Times New Roman" w:hAnsi="Times New Roman" w:cs="Times New Roman"/>
          <w:sz w:val="24"/>
          <w:szCs w:val="24"/>
          <w:highlight w:val="none"/>
        </w:rPr>
        <w:t xml:space="preserve"> </w:t>
      </w:r>
      <w:r>
        <w:rPr>
          <w:rFonts w:hint="eastAsia" w:ascii="Times New Roman" w:hAnsi="Times New Roman" w:cs="Times New Roman"/>
          <w:sz w:val="24"/>
          <w:szCs w:val="24"/>
          <w:highlight w:val="none"/>
        </w:rPr>
        <w:t xml:space="preserve">供应商参加政府采购活动前3年内在经营活动中没有重大违法记录的书面声明（</w:t>
      </w:r>
      <w:r>
        <w:rPr>
          <w:rFonts w:hint="eastAsia" w:ascii="Times New Roman" w:hAnsi="Times New Roman" w:cs="Times New Roman"/>
          <w:sz w:val="24"/>
          <w:szCs w:val="24"/>
          <w:highlight w:val="none"/>
        </w:rPr>
        <w:t xml:space="preserve">格式见附件3</w:t>
      </w:r>
      <w:r>
        <w:rPr>
          <w:rFonts w:hint="eastAsia" w:ascii="Times New Roman" w:hAnsi="Times New Roman" w:cs="Times New Roman"/>
          <w:sz w:val="24"/>
          <w:szCs w:val="24"/>
          <w:highlight w:val="none"/>
        </w:rPr>
        <w:t xml:space="preserve">）</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w:t>
      </w:r>
      <w:r>
        <w:rPr>
          <w:rFonts w:ascii="Times New Roman" w:hAnsi="Times New Roman" w:cs="Times New Roman"/>
          <w:sz w:val="24"/>
          <w:szCs w:val="24"/>
          <w:highlight w:val="none"/>
        </w:rPr>
        <w:t xml:space="preserve">7 </w:t>
      </w:r>
      <w:r>
        <w:rPr>
          <w:rFonts w:hint="eastAsia" w:ascii="Times New Roman" w:hAnsi="Times New Roman" w:cs="Times New Roman"/>
          <w:sz w:val="24"/>
          <w:szCs w:val="24"/>
          <w:highlight w:val="none"/>
        </w:rPr>
        <w:t xml:space="preserve">自招标公告发布之日至投标截止前的“信用中国”（</w:t>
      </w:r>
      <w:r>
        <w:rPr>
          <w:rFonts w:ascii="Times New Roman" w:hAnsi="Times New Roman" w:cs="Times New Roman"/>
          <w:sz w:val="24"/>
          <w:szCs w:val="24"/>
          <w:highlight w:val="none"/>
        </w:rPr>
        <w:t xml:space="preserve">www.creditchina.gov.cn</w:t>
      </w:r>
      <w:r>
        <w:rPr>
          <w:rFonts w:hint="eastAsia" w:ascii="Times New Roman" w:hAnsi="Times New Roman" w:cs="Times New Roman"/>
          <w:sz w:val="24"/>
          <w:szCs w:val="24"/>
          <w:highlight w:val="none"/>
        </w:rPr>
        <w:t xml:space="preserve">）或“诚信江苏”（</w:t>
      </w:r>
      <w:r>
        <w:rPr>
          <w:rFonts w:ascii="Times New Roman" w:hAnsi="Times New Roman" w:cs="Times New Roman"/>
          <w:sz w:val="24"/>
          <w:szCs w:val="24"/>
          <w:highlight w:val="none"/>
        </w:rPr>
        <w:t xml:space="preserve">www.jscredit.gov.cn</w:t>
      </w:r>
      <w:r>
        <w:rPr>
          <w:rFonts w:hint="eastAsia" w:ascii="Times New Roman" w:hAnsi="Times New Roman" w:cs="Times New Roman"/>
          <w:sz w:val="24"/>
          <w:szCs w:val="24"/>
          <w:highlight w:val="none"/>
        </w:rPr>
        <w:t xml:space="preserve">）或中国政府采购网（</w:t>
      </w:r>
      <w:r>
        <w:rPr>
          <w:rFonts w:ascii="Times New Roman" w:hAnsi="Times New Roman" w:cs="Times New Roman"/>
          <w:sz w:val="24"/>
          <w:szCs w:val="24"/>
          <w:highlight w:val="none"/>
        </w:rPr>
        <w:t xml:space="preserve">www.ccgp.gov.cn</w:t>
      </w:r>
      <w:r>
        <w:rPr>
          <w:rFonts w:hint="eastAsia" w:ascii="Times New Roman" w:hAnsi="Times New Roman" w:cs="Times New Roman"/>
          <w:sz w:val="24"/>
          <w:szCs w:val="24"/>
          <w:highlight w:val="none"/>
        </w:rPr>
        <w:t xml:space="preserve">）查询的、自本招标公告发布之日至投标截止前的信用记录的截图（提供不存在被列入失信被执行人、重大税收违法失信主体名单、政府采购严重失信行为记录名单的截图）</w:t>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文件8 其他投标声明（格式见附件5）：</w:t>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文件9招标文件中的其他资格性要求（详见招标公告第二条投标人资格要求）。</w:t>
      </w:r>
      <w:r/>
    </w:p>
    <w:p>
      <w:pPr>
        <w:ind w:firstLine="48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jc w:val="left"/>
        <w:spacing w:line="360" w:lineRule="auto"/>
        <w:widowControl/>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6.10 </w:t>
      </w:r>
      <w:r>
        <w:rPr>
          <w:rFonts w:hint="eastAsia" w:ascii="Times New Roman" w:hAnsi="Times New Roman" w:cs="Times New Roman"/>
          <w:b/>
          <w:bCs/>
          <w:sz w:val="24"/>
          <w:szCs w:val="24"/>
          <w:highlight w:val="none"/>
        </w:rPr>
        <w:t xml:space="preserve">符合性审查内容证明文件</w:t>
      </w:r>
      <w:r/>
    </w:p>
    <w:p>
      <w:pPr>
        <w:ind w:firstLine="480"/>
        <w:jc w:val="left"/>
        <w:spacing w:line="360" w:lineRule="auto"/>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文件1 投标人必须对招标文件（含技术要求和商务要求）中斜体且有下划线部分或加*号条款的实质性要求逐条做出响应，并按照招标文件要求提供证明材料，否则作无效投标处理。（格式见附件6）</w:t>
      </w:r>
      <w:r/>
    </w:p>
    <w:p>
      <w:pPr>
        <w:jc w:val="left"/>
        <w:rPr>
          <w:highlight w:val="none"/>
        </w:rPr>
      </w:pPr>
      <w:r/>
      <w:bookmarkStart w:id="43" w:name="_Toc24629"/>
      <w:r/>
      <w:bookmarkStart w:id="44" w:name="_Toc26673"/>
      <w:r>
        <w:rPr>
          <w:rFonts w:hint="eastAsia"/>
          <w:highlight w:val="none"/>
        </w:rPr>
        <w:br w:type="page" w:clear="all"/>
      </w:r>
      <w:r/>
    </w:p>
    <w:p>
      <w:pPr>
        <w:spacing w:line="460" w:lineRule="exact"/>
        <w:widowControl/>
        <w:rPr>
          <w:b/>
          <w:bCs/>
          <w:sz w:val="24"/>
          <w:szCs w:val="28"/>
          <w:highlight w:val="none"/>
        </w:rPr>
      </w:pPr>
      <w:r>
        <w:rPr>
          <w:rFonts w:hint="eastAsia"/>
          <w:b/>
          <w:bCs/>
          <w:sz w:val="24"/>
          <w:szCs w:val="28"/>
          <w:highlight w:val="none"/>
        </w:rPr>
        <w:t xml:space="preserve">附件1</w:t>
      </w:r>
      <w:r/>
    </w:p>
    <w:p>
      <w:pPr>
        <w:jc w:val="center"/>
        <w:spacing w:before="312" w:after="312" w:line="360" w:lineRule="auto"/>
        <w:widowControl/>
        <w:rPr>
          <w:rFonts w:ascii="黑体" w:eastAsia="黑体" w:cs="Times New Roman"/>
          <w:sz w:val="28"/>
          <w:szCs w:val="28"/>
          <w:highlight w:val="none"/>
        </w:rPr>
      </w:pPr>
      <w:r>
        <w:rPr>
          <w:rFonts w:hint="eastAsia" w:ascii="黑体" w:eastAsia="黑体" w:cs="宋体"/>
          <w:bCs/>
          <w:sz w:val="28"/>
          <w:szCs w:val="28"/>
          <w:highlight w:val="none"/>
          <w:lang w:val="zh-TW"/>
        </w:rPr>
        <w:t xml:space="preserve">法定</w:t>
      </w:r>
      <w:r>
        <w:rPr>
          <w:rFonts w:ascii="黑体" w:eastAsia="黑体" w:cs="宋体"/>
          <w:bCs/>
          <w:sz w:val="28"/>
          <w:szCs w:val="28"/>
          <w:highlight w:val="none"/>
          <w:lang w:val="zh-TW"/>
        </w:rPr>
        <w:t xml:space="preserve">代表人</w:t>
      </w:r>
      <w:r>
        <w:rPr>
          <w:rFonts w:hint="eastAsia" w:ascii="黑体" w:eastAsia="黑体" w:cs="宋体"/>
          <w:bCs/>
          <w:sz w:val="28"/>
          <w:szCs w:val="28"/>
          <w:highlight w:val="none"/>
          <w:lang w:val="zh-TW" w:eastAsia="zh-TW"/>
        </w:rPr>
        <w:t xml:space="preserve">授权</w:t>
      </w:r>
      <w:r>
        <w:rPr>
          <w:rFonts w:hint="eastAsia" w:ascii="黑体" w:eastAsia="黑体" w:cs="宋体"/>
          <w:bCs/>
          <w:sz w:val="28"/>
          <w:szCs w:val="28"/>
          <w:highlight w:val="none"/>
          <w:lang w:val="zh-TW"/>
        </w:rPr>
        <w:t xml:space="preserve">委托</w:t>
      </w:r>
      <w:r>
        <w:rPr>
          <w:rFonts w:hint="eastAsia" w:ascii="黑体" w:eastAsia="黑体" w:cs="宋体"/>
          <w:bCs/>
          <w:sz w:val="28"/>
          <w:szCs w:val="28"/>
          <w:highlight w:val="none"/>
          <w:lang w:val="zh-TW" w:eastAsia="zh-TW"/>
        </w:rPr>
        <w:t xml:space="preserve">书</w:t>
      </w:r>
      <w:r/>
    </w:p>
    <w:p>
      <w:pPr>
        <w:ind w:firstLine="482"/>
        <w:jc w:val="left"/>
        <w:spacing w:line="360" w:lineRule="auto"/>
        <w:shd w:val="clear" w:color="auto" w:fill="ffffff"/>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本授权书声明：____________（</w:t>
      </w:r>
      <w:r>
        <w:rPr>
          <w:rFonts w:hint="eastAsia" w:ascii="Times New Roman" w:hAnsi="Times New Roman" w:cs="Times New Roman"/>
          <w:bCs/>
          <w:sz w:val="24"/>
          <w:szCs w:val="24"/>
          <w:highlight w:val="none"/>
        </w:rPr>
        <w:t xml:space="preserve">投标人</w:t>
      </w:r>
      <w:r>
        <w:rPr>
          <w:rFonts w:ascii="Times New Roman" w:hAnsi="Times New Roman" w:cs="Times New Roman"/>
          <w:bCs/>
          <w:sz w:val="24"/>
          <w:szCs w:val="24"/>
          <w:highlight w:val="none"/>
        </w:rPr>
        <w:t xml:space="preserve">名称）授权________________（被授权人的姓名、职务）为我方就</w:t>
      </w:r>
      <w:r>
        <w:rPr>
          <w:rFonts w:hint="eastAsia" w:ascii="Times New Roman" w:hAnsi="Times New Roman" w:cs="Times New Roman"/>
          <w:bCs/>
          <w:sz w:val="24"/>
          <w:szCs w:val="24"/>
          <w:highlight w:val="none"/>
          <w:u w:val="single"/>
        </w:rPr>
        <w:t xml:space="preserve">                 项目</w:t>
      </w:r>
      <w:r>
        <w:rPr>
          <w:rFonts w:ascii="Times New Roman" w:hAnsi="Times New Roman" w:cs="Times New Roman"/>
          <w:bCs/>
          <w:sz w:val="24"/>
          <w:szCs w:val="24"/>
          <w:highlight w:val="none"/>
        </w:rPr>
        <w:t xml:space="preserve">（</w:t>
      </w:r>
      <w:r>
        <w:rPr>
          <w:rFonts w:hint="eastAsia" w:ascii="Times New Roman" w:hAnsi="Times New Roman" w:cs="Times New Roman"/>
          <w:bCs/>
          <w:sz w:val="24"/>
          <w:szCs w:val="24"/>
          <w:highlight w:val="none"/>
          <w:u w:val="single"/>
        </w:rPr>
        <w:t xml:space="preserve"> </w:t>
      </w:r>
      <w:r>
        <w:rPr>
          <w:rFonts w:hint="eastAsia" w:ascii="Times New Roman" w:hAnsi="Times New Roman" w:cs="Times New Roman"/>
          <w:bCs/>
          <w:sz w:val="24"/>
          <w:szCs w:val="24"/>
          <w:highlight w:val="none"/>
        </w:rPr>
        <w:t xml:space="preserve">项目</w:t>
      </w:r>
      <w:r>
        <w:rPr>
          <w:rFonts w:ascii="Times New Roman" w:hAnsi="Times New Roman" w:cs="Times New Roman"/>
          <w:bCs/>
          <w:sz w:val="24"/>
          <w:szCs w:val="24"/>
          <w:highlight w:val="none"/>
        </w:rPr>
        <w:t xml:space="preserve">编号</w:t>
      </w:r>
      <w:r>
        <w:rPr>
          <w:rFonts w:hint="eastAsia" w:ascii="Times New Roman" w:hAnsi="Times New Roman" w:cs="Times New Roman"/>
          <w:bCs/>
          <w:sz w:val="24"/>
          <w:szCs w:val="24"/>
          <w:highlight w:val="none"/>
        </w:rPr>
        <w:t xml:space="preserve">：</w:t>
      </w:r>
      <w:r>
        <w:rPr>
          <w:rFonts w:hint="eastAsia"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）采购活动的合法代理人，以本单位名义全权处理一切与该项目采购有关的事务。</w:t>
      </w:r>
      <w:r/>
    </w:p>
    <w:p>
      <w:pPr>
        <w:ind w:firstLine="482"/>
        <w:jc w:val="left"/>
        <w:spacing w:line="360" w:lineRule="auto"/>
        <w:shd w:val="clear" w:color="auto" w:fill="ffffff"/>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本授权书于______年____月____日起生效，特此声明。</w:t>
      </w:r>
      <w:r/>
    </w:p>
    <w:p>
      <w:pPr>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p>
    <w:p>
      <w:pPr>
        <w:spacing w:line="400" w:lineRule="exact"/>
        <w:tabs>
          <w:tab w:val="left" w:pos="360" w:leader="none"/>
        </w:tabs>
        <w:rPr>
          <w:sz w:val="24"/>
          <w:szCs w:val="24"/>
          <w:highlight w:val="none"/>
          <w:u w:val="single"/>
        </w:rPr>
      </w:pPr>
      <w:r>
        <w:rPr>
          <w:rFonts w:hint="eastAsia"/>
          <w:color w:val="000000"/>
          <w:sz w:val="24"/>
          <w:szCs w:val="24"/>
          <w:highlight w:val="none"/>
        </w:rPr>
        <w:t xml:space="preserve">     </w:t>
      </w:r>
      <w:r>
        <w:rPr>
          <w:rFonts w:hint="eastAsia"/>
          <w:sz w:val="24"/>
          <w:szCs w:val="24"/>
          <w:highlight w:val="none"/>
        </w:rPr>
        <w:t xml:space="preserve">     被授权人联系电话：（手机）</w:t>
      </w:r>
      <w:r>
        <w:rPr>
          <w:rFonts w:hint="eastAsia"/>
          <w:sz w:val="24"/>
          <w:szCs w:val="24"/>
          <w:highlight w:val="none"/>
          <w:u w:val="single"/>
        </w:rPr>
        <w:t xml:space="preserve">                          </w:t>
      </w:r>
      <w:r/>
    </w:p>
    <w:p>
      <w:pPr>
        <w:ind w:firstLine="1200"/>
        <w:spacing w:line="400" w:lineRule="exact"/>
        <w:tabs>
          <w:tab w:val="left" w:pos="360" w:leader="none"/>
        </w:tabs>
        <w:rPr>
          <w:sz w:val="24"/>
          <w:szCs w:val="24"/>
          <w:highlight w:val="none"/>
          <w:u w:val="single"/>
        </w:rPr>
      </w:pPr>
      <w:r>
        <w:rPr>
          <w:rFonts w:hint="eastAsia"/>
          <w:sz w:val="24"/>
          <w:szCs w:val="24"/>
          <w:highlight w:val="none"/>
        </w:rPr>
        <w:t xml:space="preserve">被授权人电子邮箱：</w:t>
      </w:r>
      <w:r>
        <w:rPr>
          <w:rFonts w:hint="eastAsia"/>
          <w:sz w:val="24"/>
          <w:szCs w:val="24"/>
          <w:highlight w:val="none"/>
          <w:u w:val="single"/>
        </w:rPr>
        <w:t xml:space="preserve">            </w:t>
      </w:r>
      <w:r/>
    </w:p>
    <w:p>
      <w:pPr>
        <w:ind w:firstLine="1200"/>
        <w:spacing w:line="400" w:lineRule="exact"/>
        <w:tabs>
          <w:tab w:val="left" w:pos="360" w:leader="none"/>
        </w:tabs>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ind w:firstLine="480"/>
        <w:spacing w:line="400" w:lineRule="exact"/>
        <w:tabs>
          <w:tab w:val="left" w:pos="360" w:leader="none"/>
        </w:tabs>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ind w:firstLine="480"/>
        <w:spacing w:line="400" w:lineRule="exact"/>
        <w:tabs>
          <w:tab w:val="left" w:pos="360" w:leader="none"/>
        </w:tabs>
        <w:rPr>
          <w:sz w:val="24"/>
          <w:szCs w:val="24"/>
          <w:highlight w:val="none"/>
        </w:rPr>
      </w:pPr>
      <w:r>
        <w:rPr>
          <w:rFonts w:hint="eastAsia"/>
          <w:sz w:val="24"/>
          <w:szCs w:val="24"/>
          <w:highlight w:val="none"/>
        </w:rPr>
        <w:t xml:space="preserve">      日期：</w:t>
      </w:r>
      <w:r>
        <w:rPr>
          <w:rFonts w:hint="eastAsia"/>
          <w:sz w:val="24"/>
          <w:szCs w:val="24"/>
          <w:highlight w:val="none"/>
          <w:u w:val="single"/>
        </w:rPr>
        <w:t xml:space="preserve">                                         </w:t>
      </w:r>
      <w:r/>
    </w:p>
    <w:p>
      <w:pPr>
        <w:jc w:val="left"/>
        <w:spacing w:line="360" w:lineRule="auto"/>
        <w:widowControl/>
        <w:rPr>
          <w:rFonts w:ascii="宋体" w:cs="宋体"/>
          <w:b/>
          <w:bCs/>
          <w:sz w:val="24"/>
          <w:szCs w:val="21"/>
          <w:highlight w:val="none"/>
          <w:u w:val="single"/>
          <w:lang w:val="zh-TW"/>
        </w:rPr>
      </w:pPr>
      <w:r>
        <w:rPr>
          <w:rFonts w:ascii="宋体" w:cs="宋体"/>
          <w:b/>
          <w:bCs/>
          <w:sz w:val="24"/>
          <w:szCs w:val="21"/>
          <w:highlight w:val="none"/>
          <w:u w:val="single"/>
          <w:lang w:val="zh-TW"/>
        </w:rPr>
      </w:r>
      <w:r/>
    </w:p>
    <w:p>
      <w:pPr>
        <w:ind w:right="420"/>
        <w:jc w:val="left"/>
        <w:spacing w:line="360" w:lineRule="auto"/>
        <w:widowControl/>
        <w:rPr>
          <w:rFonts w:hint="eastAsia" w:ascii="宋体" w:hAnsi="宋体" w:eastAsia="Microsoft JhengHei UI" w:cs="宋体"/>
          <w:sz w:val="24"/>
          <w:szCs w:val="21"/>
          <w:highlight w:val="none"/>
          <w:lang w:val="zh-TW" w:eastAsia="zh-TW"/>
        </w:rPr>
      </w:pPr>
      <w:r>
        <w:rPr>
          <w:rFonts w:hint="eastAsia" w:ascii="宋体" w:hAnsi="宋体" w:eastAsia="Microsoft JhengHei UI" w:cs="宋体"/>
          <w:sz w:val="24"/>
          <w:szCs w:val="21"/>
          <w:highlight w:val="none"/>
          <w:lang w:val="zh-TW" w:eastAsia="zh-TW"/>
        </w:rPr>
      </w:r>
      <w:r/>
    </w:p>
    <w:p>
      <w:pPr>
        <w:rPr>
          <w:rFonts w:ascii="黑体" w:eastAsia="黑体" w:cs="Times New Roman"/>
          <w:sz w:val="28"/>
          <w:szCs w:val="21"/>
          <w:highlight w:val="none"/>
        </w:rPr>
      </w:pPr>
      <w:r>
        <w:rPr>
          <w:rFonts w:hint="eastAsia" w:ascii="黑体" w:eastAsia="黑体" w:cs="Times New Roman"/>
          <w:sz w:val="28"/>
          <w:szCs w:val="21"/>
          <w:highlight w:val="none"/>
        </w:rPr>
        <w:br w:type="page" w:clear="all"/>
      </w:r>
      <w:r/>
    </w:p>
    <w:p>
      <w:pPr>
        <w:spacing w:before="156" w:after="156" w:line="360" w:lineRule="auto"/>
        <w:widowControl/>
        <w:rPr>
          <w:rFonts w:ascii="黑体" w:eastAsia="黑体" w:cs="Times New Roman"/>
          <w:sz w:val="28"/>
          <w:szCs w:val="21"/>
          <w:highlight w:val="none"/>
        </w:rPr>
      </w:pPr>
      <w:r>
        <w:rPr>
          <w:rFonts w:hint="eastAsia" w:ascii="黑体" w:eastAsia="黑体" w:cs="Times New Roman"/>
          <w:sz w:val="28"/>
          <w:szCs w:val="21"/>
          <w:highlight w:val="none"/>
        </w:rPr>
        <w:t xml:space="preserve">附件2</w:t>
      </w:r>
      <w:r/>
    </w:p>
    <w:p>
      <w:pPr>
        <w:jc w:val="center"/>
        <w:spacing w:before="156" w:after="156" w:line="360" w:lineRule="auto"/>
        <w:widowControl/>
        <w:rPr>
          <w:rFonts w:ascii="黑体" w:eastAsia="黑体" w:cs="Times New Roman"/>
          <w:sz w:val="28"/>
          <w:szCs w:val="21"/>
          <w:highlight w:val="none"/>
        </w:rPr>
      </w:pPr>
      <w:r>
        <w:rPr>
          <w:rFonts w:hint="eastAsia" w:ascii="黑体" w:eastAsia="黑体" w:cs="Times New Roman"/>
          <w:sz w:val="28"/>
          <w:szCs w:val="21"/>
          <w:highlight w:val="none"/>
        </w:rPr>
        <w:t xml:space="preserve">具备履行合同所必需的设备和专业技术能力的书面声明</w:t>
      </w:r>
      <w:bookmarkEnd w:id="43"/>
      <w:r/>
      <w:bookmarkEnd w:id="44"/>
      <w:r/>
      <w:r/>
    </w:p>
    <w:p>
      <w:pPr>
        <w:ind w:firstLine="492"/>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我公司郑重声明：我公司具备履行本项采购合同所必需的设备和专业技术能力，为履行本项采购合同我公司具备如下主要设备和主要专业技术能力：</w:t>
      </w:r>
      <w:r/>
    </w:p>
    <w:p>
      <w:pPr>
        <w:ind w:firstLine="492"/>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主要设备有：</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w:t>
      </w:r>
      <w:r/>
    </w:p>
    <w:p>
      <w:pPr>
        <w:ind w:firstLine="492"/>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主要专业技术能力有：</w:t>
      </w:r>
      <w:r>
        <w:rPr>
          <w:rFonts w:ascii="Times New Roman" w:hAnsi="Times New Roman" w:cs="Times New Roman"/>
          <w:bCs/>
          <w:sz w:val="24"/>
          <w:szCs w:val="24"/>
          <w:highlight w:val="none"/>
          <w:u w:val="single"/>
        </w:rPr>
        <w:t xml:space="preserve">   </w:t>
      </w:r>
      <w:r>
        <w:rPr>
          <w:rFonts w:ascii="Times New Roman" w:hAnsi="Times New Roman" w:cs="Times New Roman"/>
          <w:bCs/>
          <w:sz w:val="24"/>
          <w:szCs w:val="24"/>
          <w:highlight w:val="none"/>
        </w:rPr>
        <w:t xml:space="preserve">。</w:t>
      </w:r>
      <w:r/>
    </w:p>
    <w:p>
      <w:pPr>
        <w:ind w:firstLine="492"/>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r>
      <w:r/>
    </w:p>
    <w:p>
      <w:pPr>
        <w:ind w:firstLine="432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企业名称（加盖CA电子公章）：</w:t>
      </w:r>
      <w:r/>
    </w:p>
    <w:p>
      <w:pPr>
        <w:ind w:firstLine="432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w:t>
      </w:r>
      <w:r>
        <w:rPr>
          <w:rFonts w:ascii="Times New Roman" w:hAnsi="Times New Roman" w:cs="Times New Roman"/>
          <w:bCs/>
          <w:sz w:val="24"/>
          <w:szCs w:val="24"/>
          <w:highlight w:val="none"/>
        </w:rPr>
        <w:t xml:space="preserve">日期：年月日</w:t>
      </w:r>
      <w:r/>
    </w:p>
    <w:p>
      <w:pPr>
        <w:jc w:val="center"/>
        <w:spacing w:line="460" w:lineRule="exact"/>
        <w:widowControl/>
        <w:rPr>
          <w:rFonts w:ascii="Times New Roman" w:hAnsi="Times New Roman" w:cs="Times New Roman"/>
          <w:b/>
          <w:sz w:val="32"/>
          <w:szCs w:val="32"/>
          <w:highlight w:val="none"/>
        </w:rPr>
      </w:pPr>
      <w:r>
        <w:rPr>
          <w:rFonts w:ascii="Times New Roman" w:hAnsi="Times New Roman" w:cs="Times New Roman"/>
          <w:b/>
          <w:sz w:val="32"/>
          <w:szCs w:val="32"/>
          <w:highlight w:val="none"/>
        </w:rPr>
        <w:br w:type="page" w:clear="all"/>
      </w:r>
      <w:r/>
    </w:p>
    <w:p>
      <w:pPr>
        <w:spacing w:before="156" w:after="156" w:line="360" w:lineRule="auto"/>
        <w:widowControl/>
        <w:rPr>
          <w:rFonts w:ascii="黑体" w:eastAsia="黑体" w:cs="Times New Roman"/>
          <w:sz w:val="28"/>
          <w:szCs w:val="28"/>
          <w:highlight w:val="none"/>
        </w:rPr>
      </w:pPr>
      <w:r/>
      <w:bookmarkStart w:id="45" w:name="_Toc26774"/>
      <w:r/>
      <w:bookmarkStart w:id="46" w:name="_Toc18196"/>
      <w:r>
        <w:rPr>
          <w:rFonts w:hint="eastAsia" w:ascii="黑体" w:eastAsia="黑体" w:cs="Times New Roman"/>
          <w:sz w:val="28"/>
          <w:szCs w:val="28"/>
          <w:highlight w:val="none"/>
        </w:rPr>
        <w:t xml:space="preserve">附件3</w:t>
      </w:r>
      <w:r/>
    </w:p>
    <w:p>
      <w:pPr>
        <w:jc w:val="center"/>
        <w:spacing w:before="156" w:after="156" w:line="360" w:lineRule="auto"/>
        <w:widowControl/>
        <w:rPr>
          <w:rFonts w:ascii="黑体" w:eastAsia="黑体" w:cs="Times New Roman"/>
          <w:sz w:val="28"/>
          <w:szCs w:val="28"/>
          <w:highlight w:val="none"/>
        </w:rPr>
      </w:pPr>
      <w:r>
        <w:rPr>
          <w:rFonts w:ascii="黑体" w:eastAsia="黑体" w:cs="Times New Roman"/>
          <w:sz w:val="28"/>
          <w:szCs w:val="28"/>
          <w:highlight w:val="none"/>
        </w:rPr>
        <w:t xml:space="preserve">无违法违规记录声明</w:t>
      </w:r>
      <w:bookmarkEnd w:id="45"/>
      <w:r/>
      <w:bookmarkEnd w:id="46"/>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本单位参加政府采购活动近三年内，在经营活动中没有因违法经营受到刑事处罚或责令停产停业、吊销许可证或者执照、较大数额等行政处罚。</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特此声明</w:t>
      </w:r>
      <w:r>
        <w:rPr>
          <w:rFonts w:hint="eastAsia" w:ascii="Times New Roman" w:hAnsi="Times New Roman" w:cs="Times New Roman"/>
          <w:sz w:val="24"/>
          <w:szCs w:val="24"/>
          <w:highlight w:val="none"/>
        </w:rPr>
        <w:t xml:space="preserve">。</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32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企业名称（加盖CA电子公章）：</w:t>
      </w:r>
      <w:r/>
    </w:p>
    <w:p>
      <w:pPr>
        <w:ind w:firstLine="4320"/>
        <w:jc w:val="left"/>
        <w:spacing w:line="460" w:lineRule="exact"/>
        <w:widowControl/>
        <w:rPr>
          <w:rFonts w:ascii="Times New Roman" w:hAnsi="Times New Roman" w:cs="Times New Roman"/>
          <w:bCs/>
          <w:sz w:val="24"/>
          <w:szCs w:val="24"/>
          <w:highlight w:val="none"/>
        </w:rPr>
      </w:pPr>
      <w:r>
        <w:rPr>
          <w:rFonts w:ascii="Times New Roman" w:hAnsi="Times New Roman" w:cs="Times New Roman"/>
          <w:bCs/>
          <w:sz w:val="24"/>
          <w:szCs w:val="24"/>
          <w:highlight w:val="none"/>
        </w:rPr>
        <w:t xml:space="preserve">日期：年月日</w:t>
      </w:r>
      <w:r/>
    </w:p>
    <w:p>
      <w:pPr>
        <w:spacing w:line="460" w:lineRule="exact"/>
        <w:widowControl/>
        <w:rPr>
          <w:rFonts w:ascii="Times New Roman" w:hAnsi="Times New Roman" w:cs="Times New Roman"/>
          <w:b/>
          <w:sz w:val="32"/>
          <w:szCs w:val="32"/>
          <w:highlight w:val="none"/>
        </w:rPr>
      </w:pPr>
      <w:r>
        <w:rPr>
          <w:rFonts w:ascii="Times New Roman" w:hAnsi="Times New Roman" w:cs="Times New Roman"/>
          <w:b/>
          <w:sz w:val="32"/>
          <w:szCs w:val="32"/>
          <w:highlight w:val="none"/>
        </w:rPr>
      </w:r>
      <w:r/>
    </w:p>
    <w:p>
      <w:pPr>
        <w:jc w:val="left"/>
        <w:shd w:val="clear" w:color="auto" w:fill="ffffff"/>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jc w:val="left"/>
        <w:widowControl/>
        <w:rPr>
          <w:rFonts w:ascii="宋体" w:cs="宋体"/>
          <w:sz w:val="24"/>
          <w:szCs w:val="24"/>
          <w:highlight w:val="none"/>
        </w:rPr>
      </w:pPr>
      <w:r>
        <w:rPr>
          <w:rFonts w:ascii="宋体" w:cs="宋体"/>
          <w:sz w:val="24"/>
          <w:szCs w:val="24"/>
          <w:highlight w:val="none"/>
        </w:rPr>
      </w:r>
      <w:r/>
    </w:p>
    <w:p>
      <w:pPr>
        <w:jc w:val="center"/>
        <w:spacing w:line="460" w:lineRule="exact"/>
        <w:widowControl/>
        <w:rPr>
          <w:rFonts w:ascii="Times New Roman" w:hAnsi="Times New Roman" w:eastAsia="黑体" w:cs="Times New Roman"/>
          <w:sz w:val="24"/>
          <w:szCs w:val="24"/>
          <w:highlight w:val="none"/>
        </w:rPr>
      </w:pPr>
      <w:r>
        <w:rPr>
          <w:rFonts w:ascii="Times New Roman" w:hAnsi="Times New Roman" w:eastAsia="仿宋_GB2312" w:cs="Times New Roman"/>
          <w:sz w:val="32"/>
          <w:szCs w:val="28"/>
          <w:highlight w:val="none"/>
        </w:rPr>
        <w:br w:type="page" w:clear="all"/>
      </w:r>
      <w:bookmarkStart w:id="47" w:name="_Toc322444605"/>
      <w:r/>
      <w:bookmarkEnd w:id="47"/>
      <w:r/>
      <w:bookmarkStart w:id="48" w:name="_Toc231787673"/>
      <w:r/>
      <w:bookmarkEnd w:id="48"/>
      <w:r/>
      <w:bookmarkStart w:id="49" w:name="_Toc164497044"/>
      <w:r/>
      <w:bookmarkEnd w:id="49"/>
      <w:r/>
      <w:bookmarkStart w:id="50" w:name="_Toc264974211"/>
      <w:r/>
      <w:bookmarkEnd w:id="50"/>
      <w:r/>
      <w:r/>
    </w:p>
    <w:p>
      <w:pPr>
        <w:jc w:val="left"/>
        <w:spacing w:before="156" w:after="156" w:line="360" w:lineRule="auto"/>
        <w:widowControl/>
        <w:tabs>
          <w:tab w:val="left" w:pos="576" w:leader="none"/>
        </w:tabs>
        <w:rPr>
          <w:rFonts w:ascii="Times New Roman" w:hAnsi="Times New Roman" w:eastAsia="黑体" w:cs="Times New Roman"/>
          <w:sz w:val="24"/>
          <w:szCs w:val="24"/>
          <w:highlight w:val="none"/>
        </w:rPr>
      </w:pPr>
      <w:r/>
      <w:bookmarkStart w:id="51" w:name="_Toc28247"/>
      <w:r>
        <w:rPr>
          <w:rFonts w:hint="eastAsia" w:ascii="Times New Roman" w:hAnsi="Times New Roman" w:eastAsia="黑体" w:cs="Times New Roman"/>
          <w:sz w:val="24"/>
          <w:szCs w:val="24"/>
          <w:highlight w:val="none"/>
        </w:rPr>
        <w:t xml:space="preserve">附件4</w:t>
      </w:r>
      <w:r/>
    </w:p>
    <w:p>
      <w:pPr>
        <w:ind w:firstLine="2640"/>
        <w:jc w:val="left"/>
        <w:spacing w:before="156" w:after="156" w:line="360" w:lineRule="auto"/>
        <w:widowControl/>
        <w:tabs>
          <w:tab w:val="left" w:pos="576" w:leader="none"/>
        </w:tabs>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非联合体投标声明</w:t>
      </w:r>
      <w:bookmarkEnd w:id="51"/>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本次投标非联合体投标。</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特此声明</w:t>
      </w:r>
      <w:r>
        <w:rPr>
          <w:rFonts w:hint="eastAsia" w:ascii="Times New Roman" w:hAnsi="Times New Roman" w:cs="Times New Roman"/>
          <w:sz w:val="24"/>
          <w:szCs w:val="24"/>
          <w:highlight w:val="none"/>
        </w:rPr>
        <w:t xml:space="preserve">。</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0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企业名称（加盖CA电子公章）：</w:t>
      </w:r>
      <w:r/>
    </w:p>
    <w:p>
      <w:pPr>
        <w:ind w:firstLine="4080"/>
        <w:jc w:val="left"/>
        <w:spacing w:before="156" w:after="156" w:line="360" w:lineRule="auto"/>
        <w:widowControl/>
        <w:tabs>
          <w:tab w:val="left" w:pos="576" w:leader="none"/>
        </w:tabs>
        <w:rPr>
          <w:rFonts w:ascii="Times New Roman" w:hAnsi="Times New Roman" w:cs="Times New Roman"/>
          <w:bCs/>
          <w:sz w:val="24"/>
          <w:szCs w:val="24"/>
          <w:highlight w:val="none"/>
        </w:rPr>
      </w:pPr>
      <w:r/>
      <w:bookmarkStart w:id="52" w:name="_Toc21265"/>
      <w:r>
        <w:rPr>
          <w:rFonts w:ascii="Times New Roman" w:hAnsi="Times New Roman" w:cs="Times New Roman"/>
          <w:bCs/>
          <w:sz w:val="24"/>
          <w:szCs w:val="24"/>
          <w:highlight w:val="none"/>
        </w:rPr>
        <w:t xml:space="preserve">日期：年月日</w:t>
      </w:r>
      <w:bookmarkEnd w:id="52"/>
      <w:r/>
      <w:r/>
    </w:p>
    <w:p>
      <w:pPr>
        <w:ind w:firstLine="2640"/>
        <w:jc w:val="left"/>
        <w:spacing w:before="156" w:after="156" w:line="360" w:lineRule="auto"/>
        <w:widowControl/>
        <w:tabs>
          <w:tab w:val="left" w:pos="576" w:leader="none"/>
        </w:tabs>
        <w:rPr>
          <w:rFonts w:ascii="Times New Roman" w:hAnsi="Times New Roman" w:eastAsia="黑体" w:cs="Times New Roman"/>
          <w:sz w:val="24"/>
          <w:szCs w:val="24"/>
          <w:highlight w:val="none"/>
        </w:rPr>
      </w:pPr>
      <w:r>
        <w:rPr>
          <w:rFonts w:ascii="Times New Roman" w:hAnsi="Times New Roman" w:eastAsia="黑体" w:cs="Times New Roman"/>
          <w:sz w:val="24"/>
          <w:szCs w:val="24"/>
          <w:highlight w:val="none"/>
        </w:rPr>
      </w:r>
      <w:r/>
    </w:p>
    <w:p>
      <w:pPr>
        <w:ind w:firstLine="2640"/>
        <w:jc w:val="left"/>
        <w:spacing w:before="156" w:after="156" w:line="360" w:lineRule="auto"/>
        <w:widowControl/>
        <w:tabs>
          <w:tab w:val="left" w:pos="576" w:leader="none"/>
        </w:tabs>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非进口产品投标声明</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本次投标非进口产品。</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特此声明</w:t>
      </w:r>
      <w:r>
        <w:rPr>
          <w:rFonts w:hint="eastAsia" w:ascii="Times New Roman" w:hAnsi="Times New Roman" w:cs="Times New Roman"/>
          <w:sz w:val="24"/>
          <w:szCs w:val="24"/>
          <w:highlight w:val="none"/>
        </w:rPr>
        <w:t xml:space="preserve">。</w:t>
      </w:r>
      <w:r/>
    </w:p>
    <w:p>
      <w:pPr>
        <w:ind w:firstLine="480"/>
        <w:jc w:val="left"/>
        <w:spacing w:line="420" w:lineRule="exact"/>
        <w:widowControl/>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企业名称（加盖CA电子公章）：</w:t>
      </w:r>
      <w:r/>
    </w:p>
    <w:p>
      <w:pPr>
        <w:ind w:right="181" w:firstLine="480"/>
        <w:jc w:val="center"/>
        <w:spacing w:line="360" w:lineRule="auto"/>
        <w:rPr>
          <w:rFonts w:ascii="宋体" w:cs="宋体"/>
          <w:b/>
          <w:bCs/>
          <w:sz w:val="24"/>
          <w:szCs w:val="24"/>
          <w:highlight w:val="none"/>
        </w:rPr>
      </w:pPr>
      <w:r>
        <w:rPr>
          <w:rFonts w:hint="eastAsia" w:ascii="Times New Roman" w:hAnsi="Times New Roman" w:cs="Times New Roman"/>
          <w:bCs/>
          <w:sz w:val="24"/>
          <w:szCs w:val="24"/>
          <w:highlight w:val="none"/>
        </w:rPr>
        <w:t xml:space="preserve"> </w:t>
      </w:r>
      <w:r>
        <w:rPr>
          <w:rFonts w:ascii="Times New Roman" w:hAnsi="Times New Roman" w:cs="Times New Roman"/>
          <w:bCs/>
          <w:sz w:val="24"/>
          <w:szCs w:val="24"/>
          <w:highlight w:val="none"/>
        </w:rPr>
        <w:t xml:space="preserve">日期：年月日</w:t>
      </w:r>
      <w:r/>
    </w:p>
    <w:p>
      <w:pPr>
        <w:jc w:val="center"/>
        <w:widowControl/>
        <w:rPr>
          <w:rFonts w:ascii="宋体" w:cs="宋体"/>
          <w:b/>
          <w:bCs/>
          <w:sz w:val="24"/>
          <w:szCs w:val="24"/>
          <w:highlight w:val="none"/>
        </w:rPr>
      </w:pPr>
      <w:r>
        <w:rPr>
          <w:rFonts w:ascii="宋体" w:cs="宋体"/>
          <w:b/>
          <w:bCs/>
          <w:sz w:val="24"/>
          <w:szCs w:val="24"/>
          <w:highlight w:val="none"/>
        </w:rPr>
      </w:r>
      <w:r/>
    </w:p>
    <w:p>
      <w:pPr>
        <w:jc w:val="center"/>
        <w:widowControl/>
        <w:rPr>
          <w:rFonts w:ascii="宋体" w:cs="宋体"/>
          <w:b/>
          <w:bCs/>
          <w:sz w:val="24"/>
          <w:szCs w:val="24"/>
          <w:highlight w:val="none"/>
        </w:rPr>
      </w:pPr>
      <w:r>
        <w:rPr>
          <w:rFonts w:ascii="宋体" w:cs="宋体"/>
          <w:b/>
          <w:bCs/>
          <w:sz w:val="24"/>
          <w:szCs w:val="24"/>
          <w:highlight w:val="none"/>
        </w:rPr>
      </w:r>
      <w:r/>
    </w:p>
    <w:p>
      <w:pPr>
        <w:rPr>
          <w:rFonts w:ascii="宋体" w:cs="宋体"/>
          <w:b/>
          <w:bCs/>
          <w:sz w:val="24"/>
          <w:szCs w:val="24"/>
          <w:highlight w:val="none"/>
        </w:rPr>
      </w:pPr>
      <w:r>
        <w:rPr>
          <w:rFonts w:hint="eastAsia" w:ascii="宋体" w:cs="宋体"/>
          <w:b/>
          <w:bCs/>
          <w:sz w:val="24"/>
          <w:szCs w:val="24"/>
          <w:highlight w:val="none"/>
        </w:rPr>
        <w:br w:type="page" w:clear="all"/>
      </w:r>
      <w:r/>
    </w:p>
    <w:p>
      <w:pPr>
        <w:widowControl/>
        <w:rPr>
          <w:rFonts w:ascii="宋体" w:cs="宋体"/>
          <w:b/>
          <w:bCs/>
          <w:sz w:val="24"/>
          <w:szCs w:val="24"/>
          <w:highlight w:val="none"/>
        </w:rPr>
      </w:pPr>
      <w:r>
        <w:rPr>
          <w:rFonts w:hint="eastAsia" w:ascii="宋体" w:cs="宋体"/>
          <w:b/>
          <w:bCs/>
          <w:sz w:val="24"/>
          <w:szCs w:val="24"/>
          <w:highlight w:val="none"/>
        </w:rPr>
        <w:t xml:space="preserve">附件5</w:t>
      </w:r>
      <w:r/>
    </w:p>
    <w:p>
      <w:pPr>
        <w:jc w:val="center"/>
        <w:widowControl/>
        <w:rPr>
          <w:rFonts w:ascii="宋体" w:cs="宋体"/>
          <w:b/>
          <w:bCs/>
          <w:sz w:val="24"/>
          <w:szCs w:val="24"/>
          <w:highlight w:val="none"/>
        </w:rPr>
      </w:pPr>
      <w:r>
        <w:rPr>
          <w:rFonts w:hint="eastAsia" w:ascii="宋体" w:cs="宋体"/>
          <w:b/>
          <w:bCs/>
          <w:sz w:val="24"/>
          <w:szCs w:val="24"/>
          <w:highlight w:val="none"/>
        </w:rPr>
        <w:t xml:space="preserve">其他投标声明</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本次投标不存在以下情况：</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被“信用中国”网站（www.creditchina.gov.cn）、“中国政府采购网”(www.ccgp.gov.cn)列入失信被执行人、重大税收违法失信主体名单、政府采购严重失信行为记录名单，及其他不符合《中华人民共和国政府采购法》第二十二条规定条件的信用记录。</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（2）供应商单位负责人为同一人或者存在直接控股、管理关系的不同供应商，不得参加同一合同项下的政府采购活动；</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（3）为本项目提供整体设计、规范编制或者项目管理、监理、检测等服务的供应商，不得再参加本项目的采购活动；</w:t>
      </w:r>
      <w:r/>
    </w:p>
    <w:p>
      <w:pPr>
        <w:ind w:firstLine="720"/>
        <w:spacing w:line="420" w:lineRule="exact"/>
        <w:widowControl/>
        <w:rPr>
          <w:rFonts w:ascii="宋体" w:cs="宋体"/>
          <w:sz w:val="24"/>
          <w:szCs w:val="24"/>
          <w:highlight w:val="none"/>
        </w:rPr>
      </w:pPr>
      <w:r>
        <w:rPr>
          <w:rFonts w:hint="eastAsia" w:ascii="宋体" w:cs="宋体"/>
          <w:sz w:val="24"/>
          <w:szCs w:val="24"/>
          <w:highlight w:val="none"/>
        </w:rPr>
        <w:t xml:space="preserve">特此声明。</w:t>
      </w:r>
      <w:r/>
    </w:p>
    <w:p>
      <w:pPr>
        <w:ind w:firstLine="480"/>
        <w:jc w:val="left"/>
        <w:spacing w:line="420" w:lineRule="exact"/>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                         企业名称（加盖CA电子公章）：</w:t>
      </w:r>
      <w:r/>
    </w:p>
    <w:p>
      <w:pPr>
        <w:ind w:firstLine="3840"/>
        <w:spacing w:line="420" w:lineRule="exact"/>
        <w:widowControl/>
        <w:rPr>
          <w:rFonts w:ascii="宋体" w:cs="宋体"/>
          <w:b/>
          <w:bCs/>
          <w:sz w:val="24"/>
          <w:szCs w:val="24"/>
          <w:highlight w:val="none"/>
        </w:rPr>
      </w:pPr>
      <w:r>
        <w:rPr>
          <w:rFonts w:ascii="Times New Roman" w:hAnsi="Times New Roman" w:cs="Times New Roman"/>
          <w:bCs/>
          <w:sz w:val="24"/>
          <w:szCs w:val="24"/>
          <w:highlight w:val="none"/>
        </w:rPr>
        <w:t xml:space="preserve">日期：年月日</w:t>
      </w:r>
      <w:r/>
    </w:p>
    <w:p>
      <w:pPr>
        <w:rPr>
          <w:rFonts w:ascii="宋体" w:cs="宋体"/>
          <w:sz w:val="24"/>
          <w:szCs w:val="24"/>
          <w:highlight w:val="none"/>
        </w:rPr>
      </w:pPr>
      <w:r>
        <w:rPr>
          <w:rFonts w:hint="eastAsia" w:ascii="宋体" w:cs="宋体"/>
          <w:sz w:val="24"/>
          <w:szCs w:val="24"/>
          <w:highlight w:val="none"/>
        </w:rPr>
        <w:br w:type="page" w:clear="all"/>
      </w:r>
      <w:r>
        <w:rPr>
          <w:rFonts w:hint="eastAsia" w:ascii="宋体" w:cs="宋体"/>
          <w:sz w:val="24"/>
          <w:szCs w:val="24"/>
          <w:highlight w:val="none"/>
        </w:rPr>
        <w:t xml:space="preserve">附件6</w:t>
      </w:r>
      <w:r/>
    </w:p>
    <w:p>
      <w:pPr>
        <w:jc w:val="center"/>
        <w:rPr>
          <w:rFonts w:hint="eastAsia" w:ascii="宋体" w:hAnsi="宋体"/>
          <w:b/>
          <w:sz w:val="24"/>
          <w:szCs w:val="24"/>
          <w:highlight w:val="none"/>
        </w:rPr>
      </w:pPr>
      <w:r>
        <w:rPr>
          <w:rFonts w:hint="eastAsia" w:ascii="宋体" w:hAnsi="宋体"/>
          <w:b/>
          <w:sz w:val="24"/>
          <w:szCs w:val="24"/>
          <w:highlight w:val="none"/>
        </w:rPr>
        <w:t xml:space="preserve">实质性要求响应及偏离表（采购包号：**）</w:t>
      </w:r>
      <w:r/>
    </w:p>
    <w:tbl>
      <w:tblPr>
        <w:tblStyle w:val="9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609"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1"/>
                <w:highlight w:val="none"/>
              </w:rPr>
              <w:t xml:space="preserve">招标文件（含技术要求和商务要求）中</w:t>
            </w:r>
            <w:r>
              <w:rPr>
                <w:rFonts w:hint="eastAsia" w:ascii="宋体" w:hAnsi="宋体"/>
                <w:sz w:val="24"/>
                <w:szCs w:val="24"/>
                <w:highlight w:val="none"/>
              </w:rPr>
              <w:t xml:space="preserve">的实质性要求</w:t>
            </w:r>
            <w:r>
              <w:rPr>
                <w:rFonts w:hint="eastAsia" w:ascii="宋体" w:hAnsi="宋体"/>
                <w:b/>
                <w:sz w:val="24"/>
                <w:szCs w:val="21"/>
                <w:highlight w:val="none"/>
              </w:rPr>
              <w:t xml:space="preserve">（</w:t>
            </w:r>
            <w:r>
              <w:rPr>
                <w:rFonts w:hint="eastAsia" w:ascii="宋体" w:hAnsi="宋体"/>
                <w:b/>
                <w:i/>
                <w:sz w:val="24"/>
                <w:szCs w:val="21"/>
                <w:highlight w:val="none"/>
                <w:u w:val="single"/>
              </w:rPr>
              <w:t xml:space="preserve">斜体且有下划线部分</w:t>
            </w:r>
            <w:r>
              <w:rPr>
                <w:rFonts w:hint="eastAsia" w:ascii="宋体" w:hAnsi="宋体"/>
                <w:b/>
                <w:sz w:val="24"/>
                <w:szCs w:val="21"/>
                <w:highlight w:val="none"/>
              </w:rPr>
              <w:t xml:space="preserve">或加*号条款）</w:t>
            </w:r>
            <w:r/>
          </w:p>
        </w:tc>
        <w:tc>
          <w:tcPr>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附件 证明材料1，证明材料2，……</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备注：</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1.投标人必须对</w:t>
      </w:r>
      <w:r>
        <w:rPr>
          <w:rFonts w:hint="eastAsia" w:ascii="宋体" w:hAnsi="宋体"/>
          <w:sz w:val="24"/>
          <w:szCs w:val="21"/>
          <w:highlight w:val="none"/>
        </w:rPr>
        <w:t xml:space="preserve">招标文件（含技术要求和商务要求）中</w:t>
      </w:r>
      <w:r>
        <w:rPr>
          <w:rFonts w:hint="eastAsia" w:ascii="宋体" w:hAnsi="宋体"/>
          <w:sz w:val="24"/>
          <w:szCs w:val="24"/>
          <w:highlight w:val="none"/>
        </w:rPr>
        <w:t xml:space="preserve">的实质性要求</w:t>
      </w:r>
      <w:r>
        <w:rPr>
          <w:rFonts w:hint="eastAsia" w:ascii="宋体" w:hAnsi="宋体"/>
          <w:b/>
          <w:sz w:val="24"/>
          <w:szCs w:val="21"/>
          <w:highlight w:val="none"/>
        </w:rPr>
        <w:t xml:space="preserve">（</w:t>
      </w:r>
      <w:r>
        <w:rPr>
          <w:rFonts w:hint="eastAsia" w:ascii="宋体" w:hAnsi="宋体"/>
          <w:b/>
          <w:i/>
          <w:sz w:val="24"/>
          <w:szCs w:val="21"/>
          <w:highlight w:val="none"/>
          <w:u w:val="single"/>
        </w:rPr>
        <w:t xml:space="preserve">斜体且有下划线部分</w:t>
      </w:r>
      <w:r>
        <w:rPr>
          <w:rFonts w:hint="eastAsia" w:ascii="宋体" w:hAnsi="宋体"/>
          <w:b/>
          <w:sz w:val="24"/>
          <w:szCs w:val="21"/>
          <w:highlight w:val="none"/>
        </w:rPr>
        <w:t xml:space="preserve">或加*号条款为实质性要求）</w:t>
      </w:r>
      <w:r>
        <w:rPr>
          <w:rFonts w:hint="eastAsia" w:ascii="宋体" w:hAnsi="宋体"/>
          <w:sz w:val="24"/>
          <w:szCs w:val="24"/>
          <w:highlight w:val="none"/>
        </w:rPr>
        <w:t xml:space="preserve">逐条做出明确响应，</w:t>
      </w:r>
      <w:r>
        <w:rPr>
          <w:rFonts w:hint="eastAsia" w:ascii="宋体" w:hAnsi="宋体"/>
          <w:sz w:val="24"/>
          <w:szCs w:val="21"/>
          <w:highlight w:val="none"/>
        </w:rPr>
        <w:t xml:space="preserve">否则作无效投标处理。</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2.如果招标文件要求提供证明材料，投标人必须将证明材料列于该表之下。</w:t>
      </w:r>
      <w:r/>
    </w:p>
    <w:p>
      <w:pPr>
        <w:rPr>
          <w:rFonts w:ascii="宋体" w:cs="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3.投标人未对实质性要求逐条作出明确响应的，或未按招标文件要求提供证明材料的，该采购包作无效投标处理。</w:t>
      </w:r>
      <w:r/>
    </w:p>
    <w:p>
      <w:pPr>
        <w:rPr>
          <w:rFonts w:ascii="宋体" w:cs="宋体"/>
          <w:sz w:val="24"/>
          <w:szCs w:val="24"/>
          <w:highlight w:val="none"/>
        </w:rPr>
      </w:pPr>
      <w:r>
        <w:rPr>
          <w:rFonts w:ascii="宋体" w:cs="宋体"/>
          <w:sz w:val="24"/>
          <w:szCs w:val="24"/>
          <w:highlight w:val="none"/>
        </w:rPr>
      </w:r>
      <w:r/>
    </w:p>
    <w:p>
      <w:pPr>
        <w:rPr>
          <w:rFonts w:ascii="宋体" w:cs="宋体"/>
          <w:sz w:val="24"/>
          <w:szCs w:val="24"/>
          <w:highlight w:val="none"/>
        </w:rPr>
      </w:pPr>
      <w:r>
        <w:rPr>
          <w:rFonts w:hint="eastAsia" w:ascii="宋体" w:cs="宋体"/>
          <w:sz w:val="24"/>
          <w:szCs w:val="24"/>
          <w:highlight w:val="none"/>
        </w:rPr>
        <w:br w:type="page" w:clear="all"/>
      </w:r>
      <w:r/>
    </w:p>
    <w:p>
      <w:pPr>
        <w:jc w:val="left"/>
        <w:spacing w:before="156" w:after="156" w:line="360" w:lineRule="auto"/>
        <w:widowControl/>
        <w:tabs>
          <w:tab w:val="left" w:pos="576" w:leader="none"/>
        </w:tabs>
        <w:rPr>
          <w:rFonts w:ascii="Times New Roman" w:hAnsi="Times New Roman" w:eastAsia="黑体" w:cs="Times New Roman"/>
          <w:sz w:val="24"/>
          <w:szCs w:val="24"/>
          <w:highlight w:val="none"/>
        </w:rPr>
        <w:outlineLvl w:val="2"/>
      </w:pPr>
      <w:r/>
      <w:bookmarkStart w:id="53" w:name="_Toc14243"/>
      <w:r>
        <w:rPr>
          <w:rFonts w:ascii="Times New Roman" w:hAnsi="Times New Roman" w:eastAsia="黑体" w:cs="Times New Roman"/>
          <w:sz w:val="24"/>
          <w:szCs w:val="24"/>
          <w:highlight w:val="none"/>
        </w:rPr>
        <w:t xml:space="preserve">6.</w:t>
      </w:r>
      <w:r>
        <w:rPr>
          <w:rFonts w:hint="eastAsia" w:ascii="Times New Roman" w:hAnsi="Times New Roman" w:eastAsia="黑体" w:cs="Times New Roman"/>
          <w:sz w:val="24"/>
          <w:szCs w:val="24"/>
          <w:highlight w:val="none"/>
        </w:rPr>
        <w:t xml:space="preserve">11企业声明函格式</w:t>
      </w:r>
      <w:bookmarkEnd w:id="53"/>
      <w:r>
        <w:rPr>
          <w:rFonts w:hint="eastAsia" w:ascii="Times New Roman" w:hAnsi="Times New Roman" w:eastAsia="黑体" w:cs="Times New Roman"/>
          <w:sz w:val="24"/>
          <w:szCs w:val="24"/>
          <w:highlight w:val="none"/>
        </w:rPr>
        <w:t xml:space="preserve">（供应商若符合相关要求，请提供企业声明函）</w:t>
      </w:r>
      <w:r/>
    </w:p>
    <w:p>
      <w:pPr>
        <w:jc w:val="center"/>
        <w:spacing w:line="460" w:lineRule="exact"/>
        <w:rPr>
          <w:rFonts w:hint="eastAsia" w:ascii="宋体" w:hAnsi="宋体" w:cs="Times New Roman"/>
          <w:b/>
          <w:sz w:val="24"/>
          <w:szCs w:val="24"/>
          <w:highlight w:val="none"/>
        </w:rPr>
      </w:pPr>
      <w:r>
        <w:rPr>
          <w:rFonts w:hint="eastAsia" w:ascii="宋体" w:hAnsi="宋体" w:cs="Times New Roman"/>
          <w:b/>
          <w:sz w:val="24"/>
          <w:szCs w:val="24"/>
          <w:highlight w:val="none"/>
        </w:rPr>
        <w:t xml:space="preserve">中小微企业声明函（服务类项目）</w:t>
      </w:r>
      <w:r/>
    </w:p>
    <w:p>
      <w:pPr>
        <w:ind w:firstLine="360"/>
        <w:spacing w:line="400" w:lineRule="exact"/>
        <w:rPr>
          <w:rFonts w:hint="eastAsia" w:ascii="宋体" w:hAnsi="宋体" w:cs="Times New Roman"/>
          <w:sz w:val="24"/>
          <w:szCs w:val="24"/>
          <w:highlight w:val="none"/>
        </w:rPr>
      </w:pPr>
      <w:r>
        <w:rPr>
          <w:rFonts w:hint="eastAsia" w:ascii="宋体" w:hAnsi="宋体" w:cs="Times New Roman"/>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s="Times New Roman"/>
          <w:sz w:val="24"/>
          <w:szCs w:val="24"/>
          <w:highlight w:val="none"/>
          <w:u w:val="single"/>
        </w:rPr>
        <w:t xml:space="preserve">（单位名称）</w:t>
      </w:r>
      <w:r>
        <w:rPr>
          <w:rFonts w:hint="eastAsia" w:ascii="宋体" w:hAnsi="宋体" w:cs="Times New Roman"/>
          <w:sz w:val="24"/>
          <w:szCs w:val="24"/>
          <w:highlight w:val="none"/>
        </w:rPr>
        <w:t xml:space="preserve">采购编号为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w:t>
      </w:r>
      <w:r>
        <w:rPr>
          <w:rFonts w:hint="eastAsia" w:ascii="宋体" w:hAnsi="宋体" w:cs="Times New Roman"/>
          <w:sz w:val="24"/>
          <w:szCs w:val="24"/>
          <w:highlight w:val="none"/>
          <w:u w:val="single"/>
        </w:rPr>
        <w:t xml:space="preserve">（项目名称）（采购包号：/）</w:t>
      </w:r>
      <w:r>
        <w:rPr>
          <w:rFonts w:hint="eastAsia" w:ascii="宋体" w:hAnsi="宋体" w:cs="Times New Roman"/>
          <w:sz w:val="24"/>
          <w:szCs w:val="24"/>
          <w:highlight w:val="none"/>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cs="Times New Roman"/>
          <w:i/>
          <w:sz w:val="24"/>
          <w:szCs w:val="24"/>
          <w:highlight w:val="none"/>
          <w:u w:val="single"/>
        </w:rPr>
      </w:pPr>
      <w:r>
        <w:rPr>
          <w:rFonts w:hint="eastAsia" w:ascii="宋体" w:hAnsi="宋体" w:cs="Times New Roman"/>
          <w:sz w:val="24"/>
          <w:szCs w:val="24"/>
          <w:highlight w:val="none"/>
        </w:rPr>
        <w:t xml:space="preserve">1.</w:t>
      </w:r>
      <w:r>
        <w:rPr>
          <w:rFonts w:hint="eastAsia" w:ascii="宋体" w:hAnsi="宋体" w:cs="Times New Roman"/>
          <w:sz w:val="24"/>
          <w:szCs w:val="24"/>
          <w:highlight w:val="none"/>
          <w:u w:val="single"/>
        </w:rPr>
        <w:t xml:space="preserve">（标的名称）</w:t>
      </w:r>
      <w:r>
        <w:rPr>
          <w:rFonts w:hint="eastAsia" w:ascii="宋体" w:hAnsi="宋体" w:cs="Times New Roman"/>
          <w:i/>
          <w:sz w:val="24"/>
          <w:szCs w:val="24"/>
          <w:highlight w:val="none"/>
        </w:rPr>
        <w:t xml:space="preserve">，</w:t>
      </w:r>
      <w:r>
        <w:rPr>
          <w:rFonts w:hint="eastAsia" w:ascii="宋体" w:hAnsi="宋体" w:cs="Times New Roman"/>
          <w:sz w:val="24"/>
          <w:szCs w:val="24"/>
          <w:highlight w:val="none"/>
        </w:rPr>
        <w:t xml:space="preserve">属于</w:t>
      </w:r>
      <w:r>
        <w:rPr>
          <w:rFonts w:hint="eastAsia" w:ascii="宋体" w:hAnsi="宋体" w:cs="Times New Roman"/>
          <w:sz w:val="24"/>
          <w:szCs w:val="24"/>
          <w:highlight w:val="none"/>
          <w:u w:val="single"/>
        </w:rPr>
        <w:t xml:space="preserve">（供应商填写招标文件中明确的所属行业）</w:t>
      </w:r>
      <w:r>
        <w:rPr>
          <w:rFonts w:hint="eastAsia" w:ascii="宋体" w:hAnsi="宋体" w:cs="Times New Roman"/>
          <w:sz w:val="24"/>
          <w:szCs w:val="24"/>
          <w:highlight w:val="none"/>
        </w:rPr>
        <w:t xml:space="preserve">行业；承接企业为</w:t>
      </w:r>
      <w:r>
        <w:rPr>
          <w:rFonts w:hint="eastAsia" w:ascii="宋体" w:hAnsi="宋体" w:cs="Times New Roman"/>
          <w:sz w:val="24"/>
          <w:szCs w:val="24"/>
          <w:highlight w:val="none"/>
          <w:u w:val="single"/>
        </w:rPr>
        <w:t xml:space="preserve">（企业名称）</w:t>
      </w:r>
      <w:r>
        <w:rPr>
          <w:rFonts w:hint="eastAsia" w:ascii="宋体" w:hAnsi="宋体" w:cs="Times New Roman"/>
          <w:sz w:val="24"/>
          <w:szCs w:val="24"/>
          <w:highlight w:val="none"/>
        </w:rPr>
        <w:t xml:space="preserve">，从业人员</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人，营业收入为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万元，资产总额为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万元</w:t>
      </w:r>
      <w:r>
        <w:rPr>
          <w:rFonts w:hint="eastAsia" w:ascii="宋体" w:hAnsi="宋体" w:cs="Times New Roman"/>
          <w:sz w:val="24"/>
          <w:szCs w:val="24"/>
          <w:highlight w:val="none"/>
          <w:vertAlign w:val="superscript"/>
        </w:rPr>
        <w:t xml:space="preserve">1</w:t>
      </w:r>
      <w:r>
        <w:rPr>
          <w:rFonts w:hint="eastAsia" w:ascii="宋体" w:hAnsi="宋体" w:cs="Times New Roman"/>
          <w:sz w:val="24"/>
          <w:szCs w:val="24"/>
          <w:highlight w:val="none"/>
        </w:rPr>
        <w:t xml:space="preserve">，属于</w:t>
      </w:r>
      <w:r>
        <w:rPr>
          <w:rFonts w:hint="eastAsia" w:ascii="宋体" w:hAnsi="宋体" w:cs="Times New Roman"/>
          <w:sz w:val="24"/>
          <w:szCs w:val="24"/>
          <w:highlight w:val="none"/>
          <w:u w:val="single"/>
        </w:rPr>
        <w:t xml:space="preserve">（□中型企业 □小型企业 □微型企业）；</w:t>
      </w:r>
      <w:r/>
    </w:p>
    <w:p>
      <w:pPr>
        <w:ind w:firstLine="360"/>
        <w:spacing w:line="400" w:lineRule="exact"/>
        <w:rPr>
          <w:rFonts w:hint="eastAsia" w:ascii="宋体" w:hAnsi="宋体" w:cs="Times New Roman"/>
          <w:i/>
          <w:sz w:val="24"/>
          <w:szCs w:val="24"/>
          <w:highlight w:val="none"/>
          <w:u w:val="single"/>
        </w:rPr>
      </w:pPr>
      <w:r>
        <w:rPr>
          <w:rFonts w:hint="eastAsia" w:ascii="宋体" w:hAnsi="宋体" w:cs="Times New Roman"/>
          <w:sz w:val="24"/>
          <w:szCs w:val="24"/>
          <w:highlight w:val="none"/>
        </w:rPr>
        <w:t xml:space="preserve">2.</w:t>
      </w:r>
      <w:r>
        <w:rPr>
          <w:rFonts w:hint="eastAsia" w:ascii="宋体" w:hAnsi="宋体" w:cs="Times New Roman"/>
          <w:sz w:val="24"/>
          <w:szCs w:val="24"/>
          <w:highlight w:val="none"/>
          <w:u w:val="single"/>
        </w:rPr>
        <w:t xml:space="preserve">（标的名称）</w:t>
      </w:r>
      <w:r>
        <w:rPr>
          <w:rFonts w:hint="eastAsia" w:ascii="宋体" w:hAnsi="宋体" w:cs="Times New Roman"/>
          <w:i/>
          <w:sz w:val="24"/>
          <w:szCs w:val="24"/>
          <w:highlight w:val="none"/>
        </w:rPr>
        <w:t xml:space="preserve">，</w:t>
      </w:r>
      <w:r>
        <w:rPr>
          <w:rFonts w:hint="eastAsia" w:ascii="宋体" w:hAnsi="宋体" w:cs="Times New Roman"/>
          <w:sz w:val="24"/>
          <w:szCs w:val="24"/>
          <w:highlight w:val="none"/>
        </w:rPr>
        <w:t xml:space="preserve">属于</w:t>
      </w:r>
      <w:r>
        <w:rPr>
          <w:rFonts w:hint="eastAsia" w:ascii="宋体" w:hAnsi="宋体" w:cs="Times New Roman"/>
          <w:sz w:val="24"/>
          <w:szCs w:val="24"/>
          <w:highlight w:val="none"/>
          <w:u w:val="single"/>
        </w:rPr>
        <w:t xml:space="preserve">（供应商填写招标文件中明确的所属行业）</w:t>
      </w:r>
      <w:r>
        <w:rPr>
          <w:rFonts w:hint="eastAsia" w:ascii="宋体" w:hAnsi="宋体" w:cs="Times New Roman"/>
          <w:sz w:val="24"/>
          <w:szCs w:val="24"/>
          <w:highlight w:val="none"/>
        </w:rPr>
        <w:t xml:space="preserve">行业；承接企业为</w:t>
      </w:r>
      <w:r>
        <w:rPr>
          <w:rFonts w:hint="eastAsia" w:ascii="宋体" w:hAnsi="宋体" w:cs="Times New Roman"/>
          <w:sz w:val="24"/>
          <w:szCs w:val="24"/>
          <w:highlight w:val="none"/>
          <w:u w:val="single"/>
        </w:rPr>
        <w:t xml:space="preserve">（企业名称）</w:t>
      </w:r>
      <w:r>
        <w:rPr>
          <w:rFonts w:hint="eastAsia" w:ascii="宋体" w:hAnsi="宋体" w:cs="Times New Roman"/>
          <w:sz w:val="24"/>
          <w:szCs w:val="24"/>
          <w:highlight w:val="none"/>
        </w:rPr>
        <w:t xml:space="preserve">，从业人员</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人，营业收入为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万元，资产总额为</w:t>
      </w:r>
      <w:r>
        <w:rPr>
          <w:rFonts w:hint="eastAsia" w:ascii="宋体" w:hAnsi="宋体" w:cs="Times New Roman"/>
          <w:sz w:val="24"/>
          <w:szCs w:val="24"/>
          <w:highlight w:val="none"/>
          <w:u w:val="single"/>
        </w:rPr>
        <w:t xml:space="preserve">      </w:t>
      </w:r>
      <w:r>
        <w:rPr>
          <w:rFonts w:hint="eastAsia" w:ascii="宋体" w:hAnsi="宋体" w:cs="Times New Roman"/>
          <w:sz w:val="24"/>
          <w:szCs w:val="24"/>
          <w:highlight w:val="none"/>
        </w:rPr>
        <w:t xml:space="preserve">万元</w:t>
      </w:r>
      <w:r>
        <w:rPr>
          <w:rFonts w:hint="eastAsia" w:ascii="宋体" w:hAnsi="宋体" w:cs="Times New Roman"/>
          <w:sz w:val="24"/>
          <w:szCs w:val="24"/>
          <w:highlight w:val="none"/>
          <w:vertAlign w:val="superscript"/>
        </w:rPr>
        <w:t xml:space="preserve">1</w:t>
      </w:r>
      <w:r>
        <w:rPr>
          <w:rFonts w:hint="eastAsia" w:ascii="宋体" w:hAnsi="宋体" w:cs="Times New Roman"/>
          <w:sz w:val="24"/>
          <w:szCs w:val="24"/>
          <w:highlight w:val="none"/>
        </w:rPr>
        <w:t xml:space="preserve">，属于</w:t>
      </w:r>
      <w:r>
        <w:rPr>
          <w:rFonts w:hint="eastAsia" w:ascii="宋体" w:hAnsi="宋体" w:cs="Times New Roman"/>
          <w:sz w:val="24"/>
          <w:szCs w:val="24"/>
          <w:highlight w:val="none"/>
          <w:u w:val="single"/>
        </w:rPr>
        <w:t xml:space="preserve">（□中型企业 □小型企业 □微型企业）；</w:t>
      </w:r>
      <w:r/>
    </w:p>
    <w:p>
      <w:pPr>
        <w:ind w:firstLine="360"/>
        <w:spacing w:line="400" w:lineRule="exact"/>
        <w:rPr>
          <w:rFonts w:hint="eastAsia" w:ascii="宋体" w:hAnsi="宋体" w:cs="Times New Roman"/>
          <w:sz w:val="24"/>
          <w:szCs w:val="24"/>
          <w:highlight w:val="none"/>
        </w:rPr>
      </w:pPr>
      <w:r>
        <w:rPr>
          <w:rFonts w:hint="eastAsia" w:ascii="宋体" w:hAnsi="宋体" w:cs="Times New Roman"/>
          <w:sz w:val="24"/>
          <w:szCs w:val="24"/>
          <w:highlight w:val="none"/>
        </w:rPr>
        <w:t xml:space="preserve">……</w:t>
      </w:r>
      <w:r/>
    </w:p>
    <w:p>
      <w:pPr>
        <w:ind w:firstLine="360"/>
        <w:spacing w:line="400" w:lineRule="exact"/>
        <w:rPr>
          <w:rFonts w:hint="eastAsia" w:ascii="宋体" w:hAnsi="宋体" w:cs="Times New Roman"/>
          <w:sz w:val="24"/>
          <w:szCs w:val="24"/>
          <w:highlight w:val="none"/>
        </w:rPr>
      </w:pPr>
      <w:r>
        <w:rPr>
          <w:rFonts w:hint="eastAsia" w:ascii="宋体" w:hAnsi="宋体" w:cs="Times New Roman"/>
          <w:sz w:val="24"/>
          <w:szCs w:val="24"/>
          <w:highlight w:val="none"/>
        </w:rPr>
        <w:t xml:space="preserve">以上企业，不属于大企业的分支机构，不存在控股股东为大企业的情形，也不存在与大企业的负责人为同一人的情形。</w:t>
      </w:r>
      <w:r/>
    </w:p>
    <w:p>
      <w:pPr>
        <w:ind w:firstLine="480"/>
        <w:spacing w:line="360" w:lineRule="exact"/>
        <w:rPr>
          <w:rFonts w:ascii="宋体" w:cs="宋体"/>
          <w:sz w:val="24"/>
          <w:szCs w:val="24"/>
          <w:highlight w:val="none"/>
        </w:rPr>
      </w:pPr>
      <w:r>
        <w:rPr>
          <w:rFonts w:hint="eastAsia" w:ascii="宋体" w:hAnsi="宋体" w:cs="Times New Roman"/>
          <w:sz w:val="24"/>
          <w:szCs w:val="24"/>
          <w:highlight w:val="none"/>
        </w:rPr>
        <w:t xml:space="preserve">本企业对上述声明内容的真实性负责。如有虚假，将依法承担相应责任</w:t>
      </w:r>
      <w:r/>
    </w:p>
    <w:p>
      <w:pPr>
        <w:ind w:firstLine="480"/>
        <w:jc w:val="right"/>
        <w:spacing w:line="360" w:lineRule="exact"/>
        <w:rPr>
          <w:rFonts w:ascii="宋体" w:cs="宋体"/>
          <w:sz w:val="24"/>
          <w:szCs w:val="24"/>
          <w:highlight w:val="none"/>
        </w:rPr>
      </w:pPr>
      <w:r>
        <w:rPr>
          <w:rFonts w:ascii="宋体" w:cs="宋体"/>
          <w:sz w:val="24"/>
          <w:szCs w:val="24"/>
          <w:highlight w:val="none"/>
        </w:rPr>
      </w:r>
      <w:r/>
    </w:p>
    <w:p>
      <w:pPr>
        <w:ind w:firstLine="480"/>
        <w:jc w:val="right"/>
        <w:spacing w:line="360" w:lineRule="exact"/>
        <w:rPr>
          <w:rFonts w:ascii="宋体" w:cs="宋体"/>
          <w:sz w:val="24"/>
          <w:szCs w:val="24"/>
          <w:highlight w:val="none"/>
        </w:rPr>
      </w:pPr>
      <w:r>
        <w:rPr>
          <w:rFonts w:ascii="宋体" w:cs="宋体"/>
          <w:sz w:val="24"/>
          <w:szCs w:val="24"/>
          <w:highlight w:val="none"/>
        </w:rPr>
      </w:r>
      <w:r/>
    </w:p>
    <w:p>
      <w:pPr>
        <w:ind w:firstLine="480"/>
        <w:jc w:val="right"/>
        <w:spacing w:line="360" w:lineRule="exact"/>
        <w:rPr>
          <w:rFonts w:ascii="宋体" w:cs="宋体"/>
          <w:sz w:val="24"/>
          <w:szCs w:val="24"/>
          <w:highlight w:val="none"/>
        </w:rPr>
      </w:pPr>
      <w:r>
        <w:rPr>
          <w:rFonts w:hint="eastAsia" w:ascii="宋体" w:cs="宋体"/>
          <w:sz w:val="24"/>
          <w:szCs w:val="24"/>
          <w:highlight w:val="none"/>
        </w:rPr>
        <w:t xml:space="preserve">企业名称（加盖CA电子公章）：</w:t>
      </w:r>
      <w:r/>
    </w:p>
    <w:p>
      <w:pPr>
        <w:ind w:firstLine="480"/>
        <w:jc w:val="right"/>
        <w:spacing w:line="360" w:lineRule="exact"/>
        <w:rPr>
          <w:rFonts w:ascii="宋体" w:cs="宋体"/>
          <w:sz w:val="24"/>
          <w:szCs w:val="24"/>
          <w:highlight w:val="none"/>
        </w:rPr>
      </w:pPr>
      <w:r>
        <w:rPr>
          <w:rFonts w:hint="eastAsia" w:ascii="宋体" w:cs="宋体"/>
          <w:sz w:val="24"/>
          <w:szCs w:val="24"/>
          <w:highlight w:val="none"/>
        </w:rPr>
        <w:t xml:space="preserve">日期：</w:t>
      </w:r>
      <w:r/>
    </w:p>
    <w:p>
      <w:pPr>
        <w:ind w:firstLine="480"/>
        <w:spacing w:line="360" w:lineRule="exact"/>
        <w:rPr>
          <w:rFonts w:ascii="宋体" w:cs="宋体"/>
          <w:sz w:val="24"/>
          <w:szCs w:val="24"/>
          <w:highlight w:val="none"/>
        </w:rPr>
      </w:pPr>
      <w:r>
        <w:rPr>
          <w:rFonts w:ascii="宋体" w:cs="宋体"/>
          <w:sz w:val="24"/>
          <w:szCs w:val="24"/>
          <w:highlight w:val="none"/>
        </w:rPr>
      </w:r>
      <w:r/>
    </w:p>
    <w:p>
      <w:pPr>
        <w:jc w:val="left"/>
        <w:widowControl/>
        <w:rPr>
          <w:rFonts w:ascii="宋体" w:cs="宋体"/>
          <w:bCs/>
          <w:sz w:val="24"/>
          <w:szCs w:val="24"/>
          <w:highlight w:val="none"/>
        </w:rPr>
      </w:pPr>
      <w:r>
        <w:rPr>
          <w:rFonts w:ascii="宋体" w:cs="宋体"/>
          <w:bCs/>
          <w:sz w:val="24"/>
          <w:szCs w:val="24"/>
          <w:highlight w:val="none"/>
        </w:rPr>
      </w:r>
      <w:r/>
    </w:p>
    <w:p>
      <w:pPr>
        <w:rPr>
          <w:rFonts w:ascii="宋体" w:cs="宋体"/>
          <w:szCs w:val="21"/>
          <w:highlight w:val="none"/>
        </w:rPr>
      </w:pPr>
      <w:r/>
      <w:bookmarkStart w:id="54" w:name="_Toc253"/>
      <w:r>
        <w:rPr>
          <w:rFonts w:hint="eastAsia" w:ascii="宋体" w:cs="宋体"/>
          <w:szCs w:val="21"/>
          <w:highlight w:val="none"/>
        </w:rPr>
        <w:t xml:space="preserve">备注：</w:t>
      </w:r>
      <w:r/>
    </w:p>
    <w:p>
      <w:pPr>
        <w:rPr>
          <w:rFonts w:ascii="宋体" w:cs="宋体"/>
          <w:szCs w:val="21"/>
          <w:highlight w:val="none"/>
        </w:rPr>
      </w:pPr>
      <w:r>
        <w:rPr>
          <w:rFonts w:hint="eastAsia" w:ascii="宋体" w:cs="宋体"/>
          <w:szCs w:val="21"/>
          <w:highlight w:val="none"/>
        </w:rPr>
        <w:t xml:space="preserve">1.从业人员、营业收入、资产总额填报上一年度数据，无上一年度数据的新成立企业可不填报。</w:t>
      </w:r>
      <w:r/>
    </w:p>
    <w:p>
      <w:pPr>
        <w:rPr>
          <w:rFonts w:ascii="宋体" w:cs="宋体"/>
          <w:szCs w:val="21"/>
          <w:highlight w:val="none"/>
        </w:rPr>
      </w:pPr>
      <w:r>
        <w:rPr>
          <w:rFonts w:hint="eastAsia" w:ascii="宋体" w:cs="宋体"/>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rPr>
          <w:rFonts w:ascii="宋体" w:cs="宋体"/>
          <w:szCs w:val="21"/>
          <w:highlight w:val="none"/>
        </w:rPr>
      </w:pPr>
      <w:r>
        <w:rPr>
          <w:rFonts w:hint="eastAsia" w:ascii="宋体" w:cs="宋体"/>
          <w:szCs w:val="21"/>
          <w:highlight w:val="none"/>
        </w:rPr>
        <w:t xml:space="preserve">3.供应商应对照《工业和信息化部、国家统计局、国家发展和改革委员会、财政部</w:t>
      </w:r>
      <w:r/>
    </w:p>
    <w:p>
      <w:pPr>
        <w:rPr>
          <w:rFonts w:ascii="宋体" w:cs="宋体"/>
          <w:b/>
          <w:bCs/>
          <w:sz w:val="24"/>
          <w:szCs w:val="24"/>
          <w:highlight w:val="none"/>
        </w:rPr>
      </w:pPr>
      <w:r>
        <w:rPr>
          <w:rFonts w:hint="eastAsia" w:ascii="宋体" w:cs="宋体"/>
          <w:szCs w:val="21"/>
          <w:highlight w:val="none"/>
        </w:rPr>
        <w:t xml:space="preserve">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cs="宋体"/>
          <w:b/>
          <w:bCs/>
          <w:sz w:val="24"/>
          <w:szCs w:val="24"/>
          <w:highlight w:val="none"/>
        </w:rPr>
        <w:br w:type="page" w:clear="all"/>
      </w:r>
      <w:r/>
    </w:p>
    <w:p>
      <w:pPr>
        <w:ind w:firstLine="482"/>
        <w:spacing w:line="360" w:lineRule="exact"/>
        <w:rPr>
          <w:rFonts w:ascii="宋体" w:cs="宋体"/>
          <w:b/>
          <w:bCs/>
          <w:sz w:val="24"/>
          <w:szCs w:val="24"/>
          <w:highlight w:val="none"/>
        </w:rPr>
      </w:pPr>
      <w:r>
        <w:rPr>
          <w:rFonts w:hint="eastAsia" w:ascii="宋体" w:cs="宋体"/>
          <w:b/>
          <w:bCs/>
          <w:sz w:val="24"/>
          <w:szCs w:val="24"/>
          <w:highlight w:val="none"/>
        </w:rPr>
        <w:t xml:space="preserve">残疾人福利性单位声明函</w:t>
      </w:r>
      <w:bookmarkEnd w:id="54"/>
      <w:r/>
      <w:r/>
    </w:p>
    <w:p>
      <w:pPr>
        <w:ind w:firstLine="480"/>
        <w:spacing w:line="0" w:lineRule="atLeast"/>
        <w:rPr>
          <w:rFonts w:hint="eastAsia" w:ascii="宋体" w:hAnsi="宋体" w:cs="Times New Roman"/>
          <w:sz w:val="24"/>
          <w:szCs w:val="21"/>
          <w:highlight w:val="none"/>
        </w:rPr>
      </w:pPr>
      <w:r>
        <w:rPr>
          <w:rFonts w:hint="eastAsia" w:ascii="宋体" w:hAnsi="宋体" w:cs="Times New Roman"/>
          <w:sz w:val="24"/>
          <w:szCs w:val="21"/>
          <w:highlight w:val="none"/>
        </w:rPr>
      </w:r>
      <w:r/>
    </w:p>
    <w:p>
      <w:pPr>
        <w:ind w:firstLine="480"/>
        <w:spacing w:line="0" w:lineRule="atLeast"/>
        <w:rPr>
          <w:rFonts w:hint="eastAsia" w:ascii="宋体" w:hAnsi="宋体" w:cs="Times New Roman"/>
          <w:sz w:val="24"/>
          <w:szCs w:val="21"/>
          <w:highlight w:val="none"/>
        </w:rPr>
      </w:pPr>
      <w:r>
        <w:rPr>
          <w:rFonts w:hint="eastAsia" w:ascii="宋体" w:hAnsi="宋体" w:cs="Times New Roman"/>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Times New Roman"/>
          <w:sz w:val="24"/>
          <w:szCs w:val="21"/>
          <w:highlight w:val="none"/>
          <w:u w:val="single"/>
        </w:rPr>
        <w:t xml:space="preserve">      </w:t>
      </w:r>
      <w:r>
        <w:rPr>
          <w:rFonts w:hint="eastAsia" w:ascii="宋体" w:hAnsi="宋体" w:cs="Times New Roman"/>
          <w:sz w:val="24"/>
          <w:szCs w:val="21"/>
          <w:highlight w:val="none"/>
        </w:rPr>
        <w:t xml:space="preserve">的</w:t>
      </w:r>
      <w:r>
        <w:rPr>
          <w:rFonts w:hint="eastAsia" w:ascii="宋体" w:hAnsi="宋体" w:cs="Times New Roman"/>
          <w:sz w:val="24"/>
          <w:szCs w:val="21"/>
          <w:highlight w:val="none"/>
          <w:u w:val="single"/>
        </w:rPr>
        <w:t xml:space="preserve">     </w:t>
      </w:r>
      <w:r>
        <w:rPr>
          <w:rFonts w:hint="eastAsia" w:ascii="宋体" w:hAnsi="宋体" w:cs="Times New Roman"/>
          <w:sz w:val="24"/>
          <w:szCs w:val="21"/>
          <w:highlight w:val="none"/>
        </w:rPr>
        <w:t xml:space="preserve">项目（采购包号：**）采购活动由本单位提供服务。</w:t>
      </w:r>
      <w:r/>
    </w:p>
    <w:p>
      <w:pPr>
        <w:ind w:firstLine="480"/>
        <w:spacing w:line="0" w:lineRule="atLeast"/>
        <w:rPr>
          <w:rFonts w:hint="eastAsia" w:ascii="宋体" w:hAnsi="宋体" w:cs="Times New Roman"/>
          <w:sz w:val="24"/>
          <w:szCs w:val="21"/>
          <w:highlight w:val="none"/>
        </w:rPr>
      </w:pPr>
      <w:r>
        <w:rPr>
          <w:rFonts w:hint="eastAsia" w:ascii="宋体" w:hAnsi="宋体" w:cs="Times New Roman"/>
          <w:sz w:val="24"/>
          <w:szCs w:val="21"/>
          <w:highlight w:val="none"/>
        </w:rPr>
        <w:t xml:space="preserve">本单位对上述声明的真实性负责。如有虚假，将依法承担相应责任。</w:t>
      </w:r>
      <w:r/>
    </w:p>
    <w:p>
      <w:pPr>
        <w:ind w:firstLine="480"/>
        <w:spacing w:line="0" w:lineRule="atLeast"/>
        <w:rPr>
          <w:rFonts w:hint="eastAsia" w:ascii="宋体" w:hAnsi="宋体" w:cs="Times New Roman"/>
          <w:sz w:val="24"/>
          <w:szCs w:val="21"/>
          <w:highlight w:val="none"/>
        </w:rPr>
      </w:pPr>
      <w:r>
        <w:rPr>
          <w:rFonts w:hint="eastAsia" w:ascii="宋体" w:hAnsi="宋体" w:cs="Times New Roman"/>
          <w:sz w:val="24"/>
          <w:szCs w:val="21"/>
          <w:highlight w:val="none"/>
        </w:rPr>
      </w:r>
      <w:r/>
    </w:p>
    <w:p>
      <w:pPr>
        <w:ind w:firstLine="480"/>
        <w:spacing w:line="0" w:lineRule="atLeast"/>
        <w:rPr>
          <w:rFonts w:hint="eastAsia" w:ascii="宋体" w:hAnsi="宋体" w:cs="Times New Roman"/>
          <w:sz w:val="24"/>
          <w:szCs w:val="21"/>
          <w:highlight w:val="none"/>
        </w:rPr>
      </w:pPr>
      <w:r>
        <w:rPr>
          <w:rFonts w:hint="eastAsia" w:ascii="宋体" w:hAnsi="宋体" w:cs="Times New Roman"/>
          <w:sz w:val="24"/>
          <w:szCs w:val="21"/>
          <w:highlight w:val="none"/>
        </w:rPr>
        <w:t xml:space="preserve">备注：</w:t>
      </w:r>
      <w:r/>
    </w:p>
    <w:p>
      <w:pPr>
        <w:ind w:firstLine="480"/>
        <w:spacing w:line="0" w:lineRule="atLeast"/>
        <w:rPr>
          <w:rFonts w:hint="eastAsia" w:ascii="宋体" w:hAnsi="宋体" w:cs="Times New Roman"/>
          <w:sz w:val="24"/>
          <w:szCs w:val="21"/>
          <w:highlight w:val="none"/>
        </w:rPr>
      </w:pPr>
      <w:r>
        <w:rPr>
          <w:rFonts w:hint="eastAsia" w:ascii="宋体" w:hAnsi="宋体" w:cs="Times New Roman"/>
          <w:sz w:val="24"/>
          <w:szCs w:val="21"/>
          <w:highlight w:val="none"/>
        </w:rPr>
        <w:t xml:space="preserve">1</w:t>
      </w:r>
      <w:r>
        <w:rPr>
          <w:rFonts w:ascii="宋体" w:hAnsi="宋体" w:cs="Times New Roman"/>
          <w:sz w:val="24"/>
          <w:szCs w:val="21"/>
          <w:highlight w:val="none"/>
        </w:rPr>
        <w:t xml:space="preserve">.</w:t>
      </w:r>
      <w:r>
        <w:rPr>
          <w:rFonts w:hint="eastAsia" w:ascii="宋体" w:hAnsi="宋体" w:cs="Times New Roman"/>
          <w:sz w:val="24"/>
          <w:szCs w:val="21"/>
          <w:highlight w:val="none"/>
        </w:rPr>
        <w:t xml:space="preserve">专门面向中小微型企业采购的</w:t>
      </w:r>
      <w:r>
        <w:rPr>
          <w:rFonts w:ascii="宋体" w:hAnsi="宋体" w:cs="Times New Roman"/>
          <w:sz w:val="24"/>
          <w:szCs w:val="21"/>
          <w:highlight w:val="none"/>
        </w:rPr>
        <w:t xml:space="preserve">项目</w:t>
      </w:r>
      <w:r>
        <w:rPr>
          <w:rFonts w:hint="eastAsia" w:ascii="宋体" w:hAnsi="宋体" w:cs="Times New Roman"/>
          <w:sz w:val="24"/>
          <w:szCs w:val="21"/>
          <w:highlight w:val="none"/>
        </w:rPr>
        <w:t xml:space="preserve">，供应商为残疾人福利性单位并提供服务的必须提供此</w:t>
      </w:r>
      <w:r>
        <w:rPr>
          <w:rFonts w:ascii="宋体" w:hAnsi="宋体" w:cs="Times New Roman"/>
          <w:sz w:val="24"/>
          <w:szCs w:val="21"/>
          <w:highlight w:val="none"/>
        </w:rPr>
        <w:t xml:space="preserve">声明函</w:t>
      </w:r>
      <w:r>
        <w:rPr>
          <w:rFonts w:hint="eastAsia" w:ascii="宋体" w:hAnsi="宋体" w:cs="Times New Roman"/>
          <w:sz w:val="24"/>
          <w:szCs w:val="21"/>
          <w:highlight w:val="none"/>
        </w:rPr>
        <w:t xml:space="preserve">，</w:t>
      </w:r>
      <w:r>
        <w:rPr>
          <w:rFonts w:ascii="宋体" w:hAnsi="宋体" w:cs="Times New Roman"/>
          <w:sz w:val="24"/>
          <w:szCs w:val="21"/>
          <w:highlight w:val="none"/>
        </w:rPr>
        <w:t xml:space="preserve">否则将</w:t>
      </w:r>
      <w:r>
        <w:rPr>
          <w:rFonts w:hint="eastAsia" w:ascii="宋体" w:hAnsi="宋体" w:cs="Times New Roman"/>
          <w:sz w:val="24"/>
          <w:szCs w:val="21"/>
          <w:highlight w:val="none"/>
        </w:rPr>
        <w:t xml:space="preserve">不能</w:t>
      </w:r>
      <w:r>
        <w:rPr>
          <w:rFonts w:ascii="宋体" w:hAnsi="宋体" w:cs="Times New Roman"/>
          <w:sz w:val="24"/>
          <w:szCs w:val="21"/>
          <w:highlight w:val="none"/>
        </w:rPr>
        <w:t xml:space="preserve">通过资格审查</w:t>
      </w:r>
      <w:r>
        <w:rPr>
          <w:rFonts w:hint="eastAsia" w:ascii="宋体" w:hAnsi="宋体" w:cs="Times New Roman"/>
          <w:sz w:val="24"/>
          <w:szCs w:val="21"/>
          <w:highlight w:val="none"/>
        </w:rPr>
        <w:t xml:space="preserve">。</w:t>
      </w:r>
      <w:r/>
    </w:p>
    <w:p>
      <w:pPr>
        <w:ind w:firstLine="480"/>
        <w:spacing w:line="0" w:lineRule="atLeast"/>
        <w:rPr>
          <w:rFonts w:hint="eastAsia" w:ascii="宋体" w:hAnsi="宋体" w:cs="Times New Roman"/>
          <w:sz w:val="24"/>
          <w:szCs w:val="21"/>
          <w:highlight w:val="none"/>
        </w:rPr>
      </w:pPr>
      <w:r>
        <w:rPr>
          <w:rFonts w:hint="eastAsia" w:ascii="宋体" w:hAnsi="宋体" w:cs="Times New Roman"/>
          <w:sz w:val="24"/>
          <w:szCs w:val="21"/>
          <w:highlight w:val="none"/>
        </w:rPr>
        <w:t xml:space="preserve">2.非专门面向中小微型企业采购的</w:t>
      </w:r>
      <w:r>
        <w:rPr>
          <w:rFonts w:ascii="宋体" w:hAnsi="宋体" w:cs="Times New Roman"/>
          <w:sz w:val="24"/>
          <w:szCs w:val="21"/>
          <w:highlight w:val="none"/>
        </w:rPr>
        <w:t xml:space="preserve">项目</w:t>
      </w:r>
      <w:r>
        <w:rPr>
          <w:rFonts w:hint="eastAsia" w:ascii="宋体" w:hAnsi="宋体" w:cs="Times New Roman"/>
          <w:sz w:val="24"/>
          <w:szCs w:val="21"/>
          <w:highlight w:val="none"/>
        </w:rPr>
        <w:t xml:space="preserve">，供应商如不提供此声明函，价格将不做相应扣除。</w:t>
      </w:r>
      <w:r/>
    </w:p>
    <w:p>
      <w:pPr>
        <w:ind w:firstLine="480"/>
        <w:spacing w:line="0" w:lineRule="atLeast"/>
        <w:rPr>
          <w:rFonts w:hint="eastAsia" w:ascii="宋体" w:hAnsi="宋体" w:cs="Times New Roman"/>
          <w:sz w:val="24"/>
          <w:szCs w:val="21"/>
          <w:highlight w:val="none"/>
        </w:rPr>
      </w:pPr>
      <w:r>
        <w:rPr>
          <w:rFonts w:ascii="宋体" w:hAnsi="宋体" w:cs="Times New Roman"/>
          <w:sz w:val="24"/>
          <w:szCs w:val="21"/>
          <w:highlight w:val="none"/>
        </w:rPr>
        <w:t xml:space="preserve">3</w:t>
      </w:r>
      <w:r>
        <w:rPr>
          <w:rFonts w:hint="eastAsia" w:ascii="宋体" w:hAnsi="宋体" w:cs="Times New Roman"/>
          <w:sz w:val="24"/>
          <w:szCs w:val="21"/>
          <w:highlight w:val="none"/>
        </w:rPr>
        <w:t xml:space="preserve">.中标/成交供应商为残疾人福利性单位的，此声明函将随中标/成交结果同时公告，接受社会监督</w:t>
      </w:r>
      <w:r/>
    </w:p>
    <w:p>
      <w:pPr>
        <w:ind w:firstLine="480"/>
        <w:spacing w:line="360" w:lineRule="exact"/>
        <w:rPr>
          <w:rFonts w:ascii="宋体" w:cs="宋体"/>
          <w:sz w:val="24"/>
          <w:szCs w:val="24"/>
          <w:highlight w:val="none"/>
        </w:rPr>
      </w:pPr>
      <w:r>
        <w:rPr>
          <w:rFonts w:ascii="宋体" w:cs="宋体"/>
          <w:sz w:val="24"/>
          <w:szCs w:val="24"/>
          <w:highlight w:val="none"/>
        </w:rPr>
      </w:r>
      <w:r/>
    </w:p>
    <w:p>
      <w:pPr>
        <w:ind w:firstLine="480"/>
        <w:jc w:val="right"/>
        <w:spacing w:line="360" w:lineRule="exact"/>
        <w:rPr>
          <w:rFonts w:ascii="宋体" w:cs="宋体"/>
          <w:sz w:val="24"/>
          <w:szCs w:val="24"/>
          <w:highlight w:val="none"/>
        </w:rPr>
      </w:pPr>
      <w:r>
        <w:rPr>
          <w:rFonts w:hint="eastAsia" w:ascii="宋体" w:cs="宋体"/>
          <w:sz w:val="24"/>
          <w:szCs w:val="24"/>
          <w:highlight w:val="none"/>
        </w:rPr>
        <w:t xml:space="preserve">供应商（盖章）：</w:t>
      </w:r>
      <w:r/>
    </w:p>
    <w:p>
      <w:pPr>
        <w:ind w:firstLine="480"/>
        <w:jc w:val="right"/>
        <w:spacing w:line="360" w:lineRule="exact"/>
        <w:rPr>
          <w:rFonts w:ascii="宋体" w:cs="宋体"/>
          <w:sz w:val="24"/>
          <w:szCs w:val="24"/>
          <w:highlight w:val="none"/>
        </w:rPr>
      </w:pPr>
      <w:r>
        <w:rPr>
          <w:rFonts w:hint="eastAsia" w:ascii="宋体" w:cs="宋体"/>
          <w:sz w:val="24"/>
          <w:szCs w:val="24"/>
          <w:highlight w:val="none"/>
        </w:rPr>
        <w:t xml:space="preserve">日期：年月</w:t>
      </w:r>
      <w:r>
        <w:rPr>
          <w:rFonts w:hint="eastAsia" w:ascii="宋体" w:cs="宋体"/>
          <w:spacing w:val="-3"/>
          <w:sz w:val="24"/>
          <w:szCs w:val="24"/>
          <w:highlight w:val="none"/>
        </w:rPr>
        <w:t xml:space="preserve">日</w:t>
      </w:r>
      <w:r/>
    </w:p>
    <w:p>
      <w:pPr>
        <w:ind w:firstLine="480"/>
        <w:jc w:val="right"/>
        <w:spacing w:line="360" w:lineRule="exact"/>
        <w:rPr>
          <w:rFonts w:ascii="宋体" w:cs="宋体"/>
          <w:sz w:val="24"/>
          <w:szCs w:val="24"/>
          <w:highlight w:val="none"/>
        </w:rPr>
      </w:pPr>
      <w:r>
        <w:rPr>
          <w:rFonts w:ascii="宋体" w:cs="宋体"/>
          <w:sz w:val="24"/>
          <w:szCs w:val="24"/>
          <w:highlight w:val="none"/>
        </w:rPr>
      </w:r>
      <w:r/>
    </w:p>
    <w:p>
      <w:pPr>
        <w:ind w:firstLine="480"/>
        <w:jc w:val="right"/>
        <w:spacing w:line="360" w:lineRule="exact"/>
        <w:rPr>
          <w:rFonts w:ascii="宋体" w:cs="宋体"/>
          <w:sz w:val="24"/>
          <w:szCs w:val="24"/>
          <w:highlight w:val="none"/>
        </w:rPr>
      </w:pPr>
      <w:r>
        <w:rPr>
          <w:rFonts w:ascii="宋体" w:cs="宋体"/>
          <w:sz w:val="24"/>
          <w:szCs w:val="24"/>
          <w:highlight w:val="none"/>
        </w:rPr>
      </w:r>
      <w:r/>
    </w:p>
    <w:p>
      <w:pPr>
        <w:ind w:firstLine="480"/>
        <w:spacing w:line="360" w:lineRule="exact"/>
        <w:rPr>
          <w:rFonts w:ascii="宋体" w:cs="宋体"/>
          <w:sz w:val="24"/>
          <w:szCs w:val="24"/>
          <w:highlight w:val="none"/>
        </w:rPr>
      </w:pPr>
      <w:r>
        <w:rPr>
          <w:rFonts w:ascii="宋体" w:cs="宋体"/>
          <w:sz w:val="24"/>
          <w:szCs w:val="24"/>
          <w:highlight w:val="none"/>
        </w:rPr>
      </w:r>
      <w:r/>
    </w:p>
    <w:p>
      <w:pPr>
        <w:pStyle w:val="966"/>
        <w:rPr>
          <w:rFonts w:hint="eastAsia"/>
          <w:sz w:val="24"/>
          <w:szCs w:val="24"/>
          <w:highlight w:val="none"/>
        </w:rPr>
      </w:pPr>
      <w:r>
        <w:rPr>
          <w:rFonts w:hint="eastAsia" w:cs="宋体"/>
          <w:sz w:val="24"/>
          <w:szCs w:val="24"/>
          <w:highlight w:val="none"/>
        </w:rPr>
        <w:br w:type="page" w:clear="all"/>
      </w:r>
      <w:r>
        <w:rPr>
          <w:rFonts w:hint="eastAsia"/>
          <w:sz w:val="24"/>
          <w:szCs w:val="24"/>
          <w:highlight w:val="none"/>
        </w:rPr>
        <w:t xml:space="preserve">关于符合本国产品标准的声明函</w:t>
      </w:r>
      <w:r/>
    </w:p>
    <w:p>
      <w:pPr>
        <w:pStyle w:val="968"/>
        <w:ind w:firstLine="420"/>
        <w:spacing w:before="0" w:beforeAutospacing="0" w:after="0" w:afterAutospacing="0" w:line="0" w:lineRule="atLeast"/>
        <w:rPr>
          <w:rFonts w:ascii="方正魏碑_GBK" w:hAnsi="方正魏碑_GBK" w:eastAsia="方正魏碑_GBK" w:cs="方正魏碑_GBK"/>
          <w:color w:val="ff0000"/>
          <w:szCs w:val="24"/>
          <w:highlight w:val="none"/>
        </w:rPr>
      </w:pPr>
      <w:r>
        <w:rPr>
          <w:rFonts w:ascii="方正魏碑_GBK" w:hAnsi="方正魏碑_GBK" w:eastAsia="方正魏碑_GBK" w:cs="方正魏碑_GBK"/>
          <w:color w:val="ff0000"/>
          <w:szCs w:val="24"/>
          <w:highlight w:val="none"/>
        </w:rPr>
      </w:r>
      <w:r/>
    </w:p>
    <w:p>
      <w:pPr>
        <w:pStyle w:val="968"/>
        <w:ind w:firstLine="420"/>
        <w:spacing w:before="0" w:beforeAutospacing="0" w:after="0" w:afterAutospacing="0" w:line="360" w:lineRule="auto"/>
        <w:rPr>
          <w:rFonts w:cs="方正魏碑_GBK"/>
          <w:szCs w:val="24"/>
          <w:highlight w:val="none"/>
        </w:rPr>
      </w:pPr>
      <w:r>
        <w:rPr>
          <w:rFonts w:cs="方正魏碑_GBK"/>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8"/>
        <w:ind w:firstLine="420"/>
        <w:spacing w:before="30" w:beforeAutospacing="0" w:after="30" w:afterAutospacing="0" w:line="360" w:lineRule="auto"/>
        <w:rPr>
          <w:rFonts w:cs="方正魏碑_GBK"/>
          <w:szCs w:val="24"/>
          <w:highlight w:val="none"/>
        </w:rPr>
      </w:pPr>
      <w:r>
        <w:rPr>
          <w:rFonts w:cs="方正魏碑_GBK"/>
          <w:szCs w:val="24"/>
          <w:highlight w:val="none"/>
          <w:shd w:val="clear" w:color="auto" w:fill="ffffff"/>
        </w:rPr>
        <w:t xml:space="preserve">1.</w:t>
      </w:r>
      <w:r>
        <w:rPr>
          <w:rStyle w:val="969"/>
          <w:rFonts w:hint="default" w:ascii="Times New Roman" w:hAnsi="Times New Roman" w:cs="方正魏碑_GBK"/>
          <w:szCs w:val="24"/>
          <w:highlight w:val="none"/>
          <w:u w:val="single"/>
          <w:shd w:val="clear" w:color="auto" w:fill="ffffff"/>
        </w:rPr>
        <w:t xml:space="preserve">（产品名称1）</w:t>
      </w:r>
      <w:r>
        <w:rPr>
          <w:rStyle w:val="969"/>
          <w:rFonts w:hint="default" w:ascii="Times New Roman" w:hAnsi="Times New Roman" w:cs="方正魏碑_GBK"/>
          <w:szCs w:val="24"/>
          <w:highlight w:val="none"/>
          <w:shd w:val="clear" w:color="auto" w:fill="ffffff"/>
          <w:vertAlign w:val="superscript"/>
        </w:rPr>
        <w:t xml:space="preserve">1</w:t>
      </w:r>
      <w:r>
        <w:rPr>
          <w:rFonts w:cs="方正魏碑_GBK"/>
          <w:szCs w:val="24"/>
          <w:highlight w:val="none"/>
          <w:shd w:val="clear" w:color="auto" w:fill="ffffff"/>
        </w:rPr>
        <w:t xml:space="preserve">，生产厂为</w:t>
      </w:r>
      <w:r>
        <w:rPr>
          <w:rStyle w:val="969"/>
          <w:rFonts w:hint="default" w:ascii="Times New Roman" w:hAnsi="Times New Roman" w:cs="方正魏碑_GBK"/>
          <w:szCs w:val="24"/>
          <w:highlight w:val="none"/>
          <w:u w:val="single"/>
          <w:shd w:val="clear" w:color="auto" w:fill="ffffff"/>
        </w:rPr>
        <w:t xml:space="preserve">（厂名）</w:t>
      </w:r>
      <w:r>
        <w:rPr>
          <w:rStyle w:val="969"/>
          <w:rFonts w:hint="default" w:ascii="Times New Roman" w:hAnsi="Times New Roman" w:cs="方正魏碑_GBK"/>
          <w:szCs w:val="24"/>
          <w:highlight w:val="none"/>
          <w:shd w:val="clear" w:color="auto" w:fill="ffffff"/>
          <w:vertAlign w:val="superscript"/>
        </w:rPr>
        <w:t xml:space="preserve">2</w:t>
      </w:r>
      <w:r>
        <w:rPr>
          <w:rFonts w:cs="方正魏碑_GBK"/>
          <w:szCs w:val="24"/>
          <w:highlight w:val="none"/>
          <w:shd w:val="clear" w:color="auto" w:fill="ffffff"/>
        </w:rPr>
        <w:t xml:space="preserve">，厂址为</w:t>
      </w:r>
      <w:r>
        <w:rPr>
          <w:rStyle w:val="969"/>
          <w:rFonts w:hint="default" w:ascii="Times New Roman" w:hAnsi="Times New Roman" w:cs="方正魏碑_GBK"/>
          <w:szCs w:val="24"/>
          <w:highlight w:val="none"/>
          <w:u w:val="single"/>
          <w:shd w:val="clear" w:color="auto" w:fill="ffffff"/>
        </w:rPr>
        <w:t xml:space="preserve">（生产厂址）</w:t>
      </w:r>
      <w:r>
        <w:rPr>
          <w:rFonts w:cs="方正魏碑_GBK"/>
          <w:szCs w:val="24"/>
          <w:highlight w:val="none"/>
          <w:shd w:val="clear" w:color="auto" w:fill="ffffff"/>
        </w:rPr>
        <w:t xml:space="preserve">。</w:t>
      </w:r>
      <w:r>
        <w:rPr>
          <w:rFonts w:cs="方正魏碑_GBK"/>
          <w:szCs w:val="24"/>
          <w:highlight w:val="none"/>
          <w:u w:val="single"/>
          <w:shd w:val="clear" w:color="auto" w:fill="ffffff"/>
        </w:rPr>
        <w:t xml:space="preserve"> </w:t>
      </w:r>
      <w:r>
        <w:rPr>
          <w:rStyle w:val="969"/>
          <w:rFonts w:hint="default" w:ascii="Times New Roman" w:hAnsi="Times New Roman" w:cs="方正魏碑_GBK"/>
          <w:szCs w:val="24"/>
          <w:highlight w:val="none"/>
          <w:u w:val="single"/>
          <w:shd w:val="clear" w:color="auto" w:fill="ffffff"/>
        </w:rPr>
        <w:t xml:space="preserve">（产品名称1） </w:t>
      </w:r>
      <w:r>
        <w:rPr>
          <w:rFonts w:cs="方正魏碑_GBK"/>
          <w:szCs w:val="24"/>
          <w:highlight w:val="none"/>
          <w:shd w:val="clear" w:color="auto" w:fill="ffffff"/>
        </w:rPr>
        <w:t xml:space="preserve">的中国境内生产的组件成本占比≥</w:t>
      </w:r>
      <w:r>
        <w:rPr>
          <w:rStyle w:val="969"/>
          <w:rFonts w:hint="default" w:ascii="Times New Roman" w:hAnsi="Times New Roman" w:cs="方正魏碑_GBK"/>
          <w:szCs w:val="24"/>
          <w:highlight w:val="none"/>
          <w:u w:val="single"/>
          <w:shd w:val="clear" w:color="auto" w:fill="ffffff"/>
        </w:rPr>
        <w:t xml:space="preserve">（规定比例）</w:t>
      </w:r>
      <w:r>
        <w:rPr>
          <w:rStyle w:val="969"/>
          <w:rFonts w:hint="default" w:ascii="Times New Roman" w:hAnsi="Times New Roman" w:cs="方正魏碑_GBK"/>
          <w:szCs w:val="24"/>
          <w:highlight w:val="none"/>
          <w:shd w:val="clear" w:color="auto" w:fill="ffffff"/>
          <w:vertAlign w:val="superscript"/>
        </w:rPr>
        <w:t xml:space="preserve">3</w:t>
      </w:r>
      <w:r>
        <w:rPr>
          <w:rFonts w:cs="方正魏碑_GBK"/>
          <w:szCs w:val="24"/>
          <w:highlight w:val="none"/>
          <w:shd w:val="clear" w:color="auto" w:fill="ffffff"/>
        </w:rPr>
        <w:t xml:space="preserve">。</w:t>
      </w:r>
      <w:r>
        <w:rPr>
          <w:rStyle w:val="969"/>
          <w:rFonts w:hint="default" w:ascii="Times New Roman" w:hAnsi="Times New Roman" w:cs="方正魏碑_GBK"/>
          <w:szCs w:val="24"/>
          <w:highlight w:val="none"/>
          <w:u w:val="single"/>
          <w:shd w:val="clear" w:color="auto" w:fill="ffffff"/>
        </w:rPr>
        <w:t xml:space="preserve">（产品名称1）</w:t>
      </w:r>
      <w:r>
        <w:rPr>
          <w:rFonts w:cs="方正魏碑_GBK"/>
          <w:szCs w:val="24"/>
          <w:highlight w:val="none"/>
          <w:shd w:val="clear" w:color="auto" w:fill="ffffff"/>
        </w:rPr>
        <w:t xml:space="preserve">的</w:t>
      </w:r>
      <w:r>
        <w:rPr>
          <w:rStyle w:val="969"/>
          <w:rFonts w:hint="default" w:ascii="Times New Roman" w:hAnsi="Times New Roman" w:cs="方正魏碑_GBK"/>
          <w:szCs w:val="24"/>
          <w:highlight w:val="none"/>
          <w:u w:val="single"/>
          <w:shd w:val="clear" w:color="auto" w:fill="ffffff"/>
        </w:rPr>
        <w:t xml:space="preserve">（关键组件）</w:t>
      </w:r>
      <w:r>
        <w:rPr>
          <w:rStyle w:val="969"/>
          <w:rFonts w:hint="default" w:ascii="Times New Roman" w:hAnsi="Times New Roman" w:cs="方正魏碑_GBK"/>
          <w:szCs w:val="24"/>
          <w:highlight w:val="none"/>
          <w:shd w:val="clear" w:color="auto" w:fill="ffffff"/>
          <w:vertAlign w:val="superscript"/>
        </w:rPr>
        <w:t xml:space="preserve">4</w:t>
      </w:r>
      <w:r>
        <w:rPr>
          <w:rFonts w:cs="方正魏碑_GBK"/>
          <w:szCs w:val="24"/>
          <w:highlight w:val="none"/>
          <w:shd w:val="clear" w:color="auto" w:fill="ffffff"/>
        </w:rPr>
        <w:t xml:space="preserve">在中国境内生产。</w:t>
      </w:r>
      <w:r>
        <w:rPr>
          <w:rStyle w:val="969"/>
          <w:rFonts w:hint="default" w:ascii="Times New Roman" w:hAnsi="Times New Roman" w:cs="方正魏碑_GBK"/>
          <w:szCs w:val="24"/>
          <w:highlight w:val="none"/>
          <w:u w:val="single"/>
          <w:shd w:val="clear" w:color="auto" w:fill="ffffff"/>
        </w:rPr>
        <w:t xml:space="preserve">（产品名称1）</w:t>
      </w:r>
      <w:r>
        <w:rPr>
          <w:rFonts w:cs="方正魏碑_GBK"/>
          <w:szCs w:val="24"/>
          <w:highlight w:val="none"/>
          <w:shd w:val="clear" w:color="auto" w:fill="ffffff"/>
        </w:rPr>
        <w:t xml:space="preserve">的</w:t>
      </w:r>
      <w:r>
        <w:rPr>
          <w:rStyle w:val="969"/>
          <w:rFonts w:hint="default" w:ascii="Times New Roman" w:hAnsi="Times New Roman" w:cs="方正魏碑_GBK"/>
          <w:szCs w:val="24"/>
          <w:highlight w:val="none"/>
          <w:u w:val="single"/>
          <w:shd w:val="clear" w:color="auto" w:fill="ffffff"/>
        </w:rPr>
        <w:t xml:space="preserve">（关键工序）</w:t>
      </w:r>
      <w:r>
        <w:rPr>
          <w:rStyle w:val="969"/>
          <w:rFonts w:hint="default" w:ascii="Times New Roman" w:hAnsi="Times New Roman" w:cs="方正魏碑_GBK"/>
          <w:szCs w:val="24"/>
          <w:highlight w:val="none"/>
          <w:shd w:val="clear" w:color="auto" w:fill="ffffff"/>
          <w:vertAlign w:val="superscript"/>
        </w:rPr>
        <w:t xml:space="preserve">5</w:t>
      </w:r>
      <w:r>
        <w:rPr>
          <w:rFonts w:cs="方正魏碑_GBK"/>
          <w:szCs w:val="24"/>
          <w:highlight w:val="none"/>
          <w:shd w:val="clear" w:color="auto" w:fill="ffffff"/>
        </w:rPr>
        <w:t xml:space="preserve">在中国境内完成。</w:t>
      </w:r>
      <w:r/>
    </w:p>
    <w:p>
      <w:pPr>
        <w:pStyle w:val="968"/>
        <w:ind w:firstLine="420"/>
        <w:spacing w:before="30" w:beforeAutospacing="0" w:after="30" w:afterAutospacing="0" w:line="360" w:lineRule="auto"/>
        <w:rPr>
          <w:rFonts w:cs="方正魏碑_GBK"/>
          <w:szCs w:val="24"/>
          <w:highlight w:val="none"/>
        </w:rPr>
      </w:pPr>
      <w:r>
        <w:rPr>
          <w:rFonts w:cs="方正魏碑_GBK"/>
          <w:szCs w:val="24"/>
          <w:highlight w:val="none"/>
          <w:shd w:val="clear" w:color="auto" w:fill="ffffff"/>
        </w:rPr>
        <w:t xml:space="preserve">2.</w:t>
      </w:r>
      <w:r>
        <w:rPr>
          <w:rStyle w:val="969"/>
          <w:rFonts w:hint="default" w:ascii="Times New Roman" w:hAnsi="Times New Roman" w:cs="方正魏碑_GBK"/>
          <w:szCs w:val="24"/>
          <w:highlight w:val="none"/>
          <w:u w:val="single"/>
          <w:shd w:val="clear" w:color="auto" w:fill="ffffff"/>
        </w:rPr>
        <w:t xml:space="preserve">（产品名称2）</w:t>
      </w:r>
      <w:r>
        <w:rPr>
          <w:rFonts w:cs="方正魏碑_GBK"/>
          <w:szCs w:val="24"/>
          <w:highlight w:val="none"/>
          <w:shd w:val="clear" w:color="auto" w:fill="ffffff"/>
        </w:rPr>
        <w:t xml:space="preserve">，生产厂为</w:t>
      </w:r>
      <w:r>
        <w:rPr>
          <w:rStyle w:val="969"/>
          <w:rFonts w:hint="default" w:ascii="Times New Roman" w:hAnsi="Times New Roman" w:cs="方正魏碑_GBK"/>
          <w:szCs w:val="24"/>
          <w:highlight w:val="none"/>
          <w:u w:val="single"/>
          <w:shd w:val="clear" w:color="auto" w:fill="ffffff"/>
        </w:rPr>
        <w:t xml:space="preserve">（厂名）</w:t>
      </w:r>
      <w:r>
        <w:rPr>
          <w:rFonts w:cs="方正魏碑_GBK"/>
          <w:szCs w:val="24"/>
          <w:highlight w:val="none"/>
          <w:shd w:val="clear" w:color="auto" w:fill="ffffff"/>
        </w:rPr>
        <w:t xml:space="preserve">，厂址为</w:t>
      </w:r>
      <w:r>
        <w:rPr>
          <w:rStyle w:val="969"/>
          <w:rFonts w:hint="default" w:ascii="Times New Roman" w:hAnsi="Times New Roman" w:cs="方正魏碑_GBK"/>
          <w:szCs w:val="24"/>
          <w:highlight w:val="none"/>
          <w:u w:val="single"/>
          <w:shd w:val="clear" w:color="auto" w:fill="ffffff"/>
        </w:rPr>
        <w:t xml:space="preserve">（生产厂址）</w:t>
      </w:r>
      <w:r>
        <w:rPr>
          <w:rFonts w:cs="方正魏碑_GBK"/>
          <w:szCs w:val="24"/>
          <w:highlight w:val="none"/>
          <w:shd w:val="clear" w:color="auto" w:fill="ffffff"/>
        </w:rPr>
        <w:t xml:space="preserve">。</w:t>
      </w:r>
      <w:r>
        <w:rPr>
          <w:rStyle w:val="969"/>
          <w:rFonts w:hint="default" w:ascii="Times New Roman" w:hAnsi="Times New Roman" w:cs="方正魏碑_GBK"/>
          <w:szCs w:val="24"/>
          <w:highlight w:val="none"/>
          <w:u w:val="single"/>
          <w:shd w:val="clear" w:color="auto" w:fill="ffffff"/>
        </w:rPr>
        <w:t xml:space="preserve">（产品名称2）</w:t>
      </w:r>
      <w:r>
        <w:rPr>
          <w:rFonts w:cs="方正魏碑_GBK"/>
          <w:szCs w:val="24"/>
          <w:highlight w:val="none"/>
          <w:shd w:val="clear" w:color="auto" w:fill="ffffff"/>
        </w:rPr>
        <w:t xml:space="preserve">的中国境内生产的组件成本占比≥</w:t>
      </w:r>
      <w:r>
        <w:rPr>
          <w:rStyle w:val="969"/>
          <w:rFonts w:hint="default" w:ascii="Times New Roman" w:hAnsi="Times New Roman" w:cs="方正魏碑_GBK"/>
          <w:szCs w:val="24"/>
          <w:highlight w:val="none"/>
          <w:u w:val="single"/>
          <w:shd w:val="clear" w:color="auto" w:fill="ffffff"/>
        </w:rPr>
        <w:t xml:space="preserve">（规定比例）</w:t>
      </w:r>
      <w:r>
        <w:rPr>
          <w:rFonts w:cs="方正魏碑_GBK"/>
          <w:szCs w:val="24"/>
          <w:highlight w:val="none"/>
          <w:shd w:val="clear" w:color="auto" w:fill="ffffff"/>
        </w:rPr>
        <w:t xml:space="preserve">。</w:t>
      </w:r>
      <w:r>
        <w:rPr>
          <w:rStyle w:val="969"/>
          <w:rFonts w:hint="default" w:ascii="Times New Roman" w:hAnsi="Times New Roman" w:cs="方正魏碑_GBK"/>
          <w:szCs w:val="24"/>
          <w:highlight w:val="none"/>
          <w:u w:val="single"/>
          <w:shd w:val="clear" w:color="auto" w:fill="ffffff"/>
        </w:rPr>
        <w:t xml:space="preserve">（产品名称2）</w:t>
      </w:r>
      <w:r>
        <w:rPr>
          <w:rFonts w:cs="方正魏碑_GBK"/>
          <w:szCs w:val="24"/>
          <w:highlight w:val="none"/>
          <w:shd w:val="clear" w:color="auto" w:fill="ffffff"/>
        </w:rPr>
        <w:t xml:space="preserve">的</w:t>
      </w:r>
      <w:r>
        <w:rPr>
          <w:rStyle w:val="969"/>
          <w:rFonts w:hint="default" w:ascii="Times New Roman" w:hAnsi="Times New Roman" w:cs="方正魏碑_GBK"/>
          <w:szCs w:val="24"/>
          <w:highlight w:val="none"/>
          <w:u w:val="single"/>
          <w:shd w:val="clear" w:color="auto" w:fill="ffffff"/>
        </w:rPr>
        <w:t xml:space="preserve">（关键组件）</w:t>
      </w:r>
      <w:r>
        <w:rPr>
          <w:rFonts w:cs="方正魏碑_GBK"/>
          <w:szCs w:val="24"/>
          <w:highlight w:val="none"/>
          <w:shd w:val="clear" w:color="auto" w:fill="ffffff"/>
        </w:rPr>
        <w:t xml:space="preserve">在中国境内生产。</w:t>
      </w:r>
      <w:r>
        <w:rPr>
          <w:rStyle w:val="969"/>
          <w:rFonts w:hint="default" w:ascii="Times New Roman" w:hAnsi="Times New Roman" w:cs="方正魏碑_GBK"/>
          <w:szCs w:val="24"/>
          <w:highlight w:val="none"/>
          <w:u w:val="single"/>
          <w:shd w:val="clear" w:color="auto" w:fill="ffffff"/>
        </w:rPr>
        <w:t xml:space="preserve">（产品名称1）</w:t>
      </w:r>
      <w:r>
        <w:rPr>
          <w:rFonts w:cs="方正魏碑_GBK"/>
          <w:szCs w:val="24"/>
          <w:highlight w:val="none"/>
          <w:shd w:val="clear" w:color="auto" w:fill="ffffff"/>
        </w:rPr>
        <w:t xml:space="preserve">的</w:t>
      </w:r>
      <w:r>
        <w:rPr>
          <w:rStyle w:val="969"/>
          <w:rFonts w:hint="default" w:ascii="Times New Roman" w:hAnsi="Times New Roman" w:cs="方正魏碑_GBK"/>
          <w:szCs w:val="24"/>
          <w:highlight w:val="none"/>
          <w:u w:val="single"/>
          <w:shd w:val="clear" w:color="auto" w:fill="ffffff"/>
        </w:rPr>
        <w:t xml:space="preserve">（关键工序）</w:t>
      </w:r>
      <w:r>
        <w:rPr>
          <w:rFonts w:cs="方正魏碑_GBK"/>
          <w:szCs w:val="24"/>
          <w:highlight w:val="none"/>
          <w:shd w:val="clear" w:color="auto" w:fill="ffffff"/>
        </w:rPr>
        <w:t xml:space="preserve">在中国境内完成。</w:t>
      </w:r>
      <w:r/>
    </w:p>
    <w:p>
      <w:pPr>
        <w:pStyle w:val="968"/>
        <w:ind w:firstLine="420"/>
        <w:spacing w:before="30" w:beforeAutospacing="0" w:after="30" w:afterAutospacing="0" w:line="360" w:lineRule="auto"/>
        <w:rPr>
          <w:rFonts w:cs="方正魏碑_GBK"/>
          <w:szCs w:val="24"/>
          <w:highlight w:val="none"/>
        </w:rPr>
      </w:pPr>
      <w:r>
        <w:rPr>
          <w:rFonts w:cs="方正魏碑_GBK"/>
          <w:szCs w:val="24"/>
          <w:highlight w:val="none"/>
          <w:shd w:val="clear" w:color="auto" w:fill="ffffff"/>
        </w:rPr>
        <w:t xml:space="preserve">……</w:t>
      </w:r>
      <w:r/>
    </w:p>
    <w:p>
      <w:pPr>
        <w:pStyle w:val="968"/>
        <w:ind w:firstLine="420"/>
        <w:spacing w:before="30" w:beforeAutospacing="0" w:after="30" w:afterAutospacing="0" w:line="360" w:lineRule="auto"/>
        <w:rPr>
          <w:rFonts w:cs="方正魏碑_GBK"/>
          <w:szCs w:val="24"/>
          <w:highlight w:val="none"/>
        </w:rPr>
      </w:pPr>
      <w:r>
        <w:rPr>
          <w:rFonts w:cs="方正魏碑_GBK"/>
          <w:szCs w:val="24"/>
          <w:highlight w:val="none"/>
          <w:shd w:val="clear" w:color="auto" w:fill="ffffff"/>
        </w:rPr>
        <w:t xml:space="preserve">本公司（单位）对上述声明内容的真实性负责。如有虚假，愿承担相应法律责任。</w:t>
      </w:r>
      <w:r/>
    </w:p>
    <w:p>
      <w:pPr>
        <w:pStyle w:val="968"/>
        <w:spacing w:before="30" w:beforeAutospacing="0" w:after="30" w:afterAutospacing="0" w:line="360" w:lineRule="auto"/>
        <w:rPr>
          <w:rFonts w:cs="方正魏碑_GBK"/>
          <w:szCs w:val="24"/>
          <w:highlight w:val="none"/>
        </w:rPr>
      </w:pPr>
      <w:r>
        <w:rPr>
          <w:rFonts w:cs="方正魏碑_GBK"/>
          <w:szCs w:val="24"/>
          <w:highlight w:val="none"/>
        </w:rPr>
      </w:r>
      <w:r/>
    </w:p>
    <w:p>
      <w:pPr>
        <w:pStyle w:val="968"/>
        <w:ind w:right="480" w:firstLine="4440"/>
        <w:spacing w:before="30" w:beforeAutospacing="0" w:after="30" w:afterAutospacing="0" w:line="360" w:lineRule="auto"/>
        <w:rPr>
          <w:rFonts w:cs="方正魏碑_GBK"/>
          <w:szCs w:val="24"/>
          <w:highlight w:val="none"/>
        </w:rPr>
      </w:pPr>
      <w:r>
        <w:rPr>
          <w:rFonts w:cs="方正魏碑_GBK"/>
          <w:szCs w:val="24"/>
          <w:highlight w:val="none"/>
          <w:shd w:val="clear" w:color="auto" w:fill="ffffff"/>
        </w:rPr>
        <w:t xml:space="preserve">公司（单位）名称（盖章）：</w:t>
      </w:r>
      <w:r>
        <w:rPr>
          <w:rFonts w:cs="方正魏碑_GBK"/>
          <w:szCs w:val="24"/>
          <w:highlight w:val="none"/>
        </w:rPr>
        <w:t xml:space="preserve">  </w:t>
      </w:r>
      <w:r/>
    </w:p>
    <w:p>
      <w:pPr>
        <w:pStyle w:val="968"/>
        <w:jc w:val="center"/>
        <w:spacing w:before="30" w:beforeAutospacing="0" w:after="30" w:afterAutospacing="0" w:line="360" w:lineRule="auto"/>
        <w:rPr>
          <w:rFonts w:cs="方正魏碑_GBK"/>
          <w:szCs w:val="24"/>
          <w:highlight w:val="none"/>
        </w:rPr>
      </w:pPr>
      <w:r>
        <w:rPr>
          <w:rFonts w:cs="方正魏碑_GBK"/>
          <w:szCs w:val="24"/>
          <w:highlight w:val="none"/>
          <w:shd w:val="clear" w:color="auto" w:fill="ffffff"/>
        </w:rPr>
        <w:t xml:space="preserve">             日期：   </w:t>
      </w:r>
      <w:r>
        <w:rPr>
          <w:rFonts w:cs="宋体"/>
          <w:szCs w:val="24"/>
          <w:highlight w:val="none"/>
          <w:shd w:val="clear" w:color="auto" w:fill="ffffff"/>
        </w:rPr>
        <w:t xml:space="preserve">年</w:t>
      </w:r>
      <w:r>
        <w:rPr>
          <w:rFonts w:cs="方正魏碑_GBK"/>
          <w:szCs w:val="24"/>
          <w:highlight w:val="none"/>
          <w:shd w:val="clear" w:color="auto" w:fill="ffffff"/>
        </w:rPr>
        <w:t xml:space="preserve">  </w:t>
      </w:r>
      <w:r>
        <w:rPr>
          <w:rFonts w:cs="宋体"/>
          <w:szCs w:val="24"/>
          <w:highlight w:val="none"/>
          <w:shd w:val="clear" w:color="auto" w:fill="ffffff"/>
        </w:rPr>
        <w:t xml:space="preserve">月 </w:t>
      </w:r>
      <w:r>
        <w:rPr>
          <w:rFonts w:cs="方正魏碑_GBK"/>
          <w:szCs w:val="24"/>
          <w:highlight w:val="none"/>
          <w:shd w:val="clear" w:color="auto" w:fill="ffffff"/>
        </w:rPr>
        <w:t xml:space="preserve"> </w:t>
      </w:r>
      <w:r>
        <w:rPr>
          <w:rFonts w:cs="宋体"/>
          <w:szCs w:val="24"/>
          <w:highlight w:val="none"/>
          <w:shd w:val="clear" w:color="auto" w:fill="ffffff"/>
        </w:rPr>
        <w:t xml:space="preserve">日</w:t>
      </w:r>
      <w:r/>
    </w:p>
    <w:p>
      <w:pPr>
        <w:pStyle w:val="968"/>
        <w:spacing w:before="30" w:beforeAutospacing="0" w:after="30" w:afterAutospacing="0" w:line="360" w:lineRule="auto"/>
        <w:rPr>
          <w:rFonts w:cs="方正魏碑_GBK"/>
          <w:szCs w:val="24"/>
          <w:highlight w:val="none"/>
        </w:rPr>
      </w:pPr>
      <w:r>
        <w:rPr>
          <w:rFonts w:cs="方正魏碑_GBK"/>
          <w:szCs w:val="24"/>
          <w:highlight w:val="none"/>
          <w:shd w:val="clear" w:color="auto" w:fill="ffffff"/>
        </w:rPr>
        <w:t xml:space="preserve">__________________</w:t>
      </w:r>
      <w:r/>
    </w:p>
    <w:p>
      <w:pPr>
        <w:pStyle w:val="968"/>
        <w:spacing w:before="30" w:beforeAutospacing="0" w:after="30" w:afterAutospacing="0" w:line="360" w:lineRule="auto"/>
        <w:rPr>
          <w:rFonts w:cs="方正魏碑_GBK"/>
          <w:szCs w:val="24"/>
          <w:highlight w:val="none"/>
        </w:rPr>
      </w:pPr>
      <w:r>
        <w:rPr>
          <w:rFonts w:cs="方正魏碑_GBK"/>
          <w:szCs w:val="24"/>
          <w:highlight w:val="none"/>
          <w:shd w:val="clear" w:color="auto" w:fill="ffffff"/>
        </w:rPr>
        <w:t xml:space="preserve">1.产品如有型号，请在“产品名称”栏一并填写。</w:t>
      </w:r>
      <w:r/>
    </w:p>
    <w:p>
      <w:pPr>
        <w:pStyle w:val="968"/>
        <w:spacing w:before="30" w:beforeAutospacing="0" w:after="30" w:afterAutospacing="0" w:line="360" w:lineRule="auto"/>
        <w:rPr>
          <w:rFonts w:cs="方正魏碑_GBK"/>
          <w:szCs w:val="24"/>
          <w:highlight w:val="none"/>
        </w:rPr>
      </w:pPr>
      <w:r>
        <w:rPr>
          <w:rFonts w:cs="方正魏碑_GBK"/>
          <w:szCs w:val="24"/>
          <w:highlight w:val="none"/>
          <w:shd w:val="clear" w:color="auto" w:fill="ffffff"/>
        </w:rPr>
        <w:t xml:space="preserve">2.生产厂名与厂址应与生产厂营业执照载明的相关信息保持一致。</w:t>
      </w:r>
      <w:r/>
    </w:p>
    <w:p>
      <w:pPr>
        <w:pStyle w:val="968"/>
        <w:spacing w:before="30" w:beforeAutospacing="0" w:after="30" w:afterAutospacing="0" w:line="360" w:lineRule="auto"/>
        <w:rPr>
          <w:rFonts w:cs="方正魏碑_GBK"/>
          <w:szCs w:val="24"/>
          <w:highlight w:val="none"/>
        </w:rPr>
      </w:pPr>
      <w:r>
        <w:rPr>
          <w:rFonts w:cs="方正魏碑_GBK"/>
          <w:szCs w:val="24"/>
          <w:highlight w:val="none"/>
          <w:shd w:val="clear" w:color="auto" w:fill="ffffff"/>
        </w:rPr>
        <w:t xml:space="preserve">3.该产品的中国境内生产的组件成本占比相关要求实施前，“规定比例”栏可不填，下同。</w:t>
      </w:r>
      <w:r/>
    </w:p>
    <w:p>
      <w:pPr>
        <w:pStyle w:val="968"/>
        <w:spacing w:before="30" w:beforeAutospacing="0" w:after="30" w:afterAutospacing="0" w:line="360" w:lineRule="auto"/>
        <w:rPr>
          <w:rFonts w:cs="方正魏碑_GBK"/>
          <w:szCs w:val="24"/>
          <w:highlight w:val="none"/>
          <w:shd w:val="clear" w:color="auto" w:fill="ffffff"/>
        </w:rPr>
      </w:pPr>
      <w:r>
        <w:rPr>
          <w:rFonts w:cs="方正魏碑_GBK"/>
          <w:szCs w:val="24"/>
          <w:highlight w:val="none"/>
          <w:shd w:val="clear" w:color="auto" w:fill="ffffff"/>
        </w:rPr>
        <w:t xml:space="preserve">4.该产品的关键组件要求实施前，“关键组件”栏可不填，下同。</w:t>
      </w:r>
      <w:r/>
    </w:p>
    <w:p>
      <w:pPr>
        <w:jc w:val="left"/>
        <w:widowControl/>
        <w:rPr>
          <w:rFonts w:hint="eastAsia" w:ascii="宋体" w:hAnsi="宋体" w:cs="宋体"/>
          <w:sz w:val="24"/>
          <w:szCs w:val="24"/>
          <w:highlight w:val="none"/>
        </w:rPr>
      </w:pPr>
      <w:r>
        <w:rPr>
          <w:rFonts w:ascii="Times New Roman" w:hAnsi="Times New Roman" w:cs="方正魏碑_GBK"/>
          <w:sz w:val="24"/>
          <w:szCs w:val="24"/>
          <w:highlight w:val="none"/>
          <w:shd w:val="clear" w:color="auto" w:fill="ffffff"/>
        </w:rPr>
        <w:t xml:space="preserve">5.该产品的关键工序要求实施前，“关键工序”栏可不填，下同。</w:t>
      </w:r>
      <w:r/>
    </w:p>
    <w:p>
      <w:pPr>
        <w:jc w:val="left"/>
        <w:widowControl/>
        <w:rPr>
          <w:rFonts w:ascii="宋体" w:cs="宋体"/>
          <w:sz w:val="24"/>
          <w:szCs w:val="24"/>
          <w:highlight w:val="none"/>
        </w:rPr>
      </w:pPr>
      <w:r>
        <w:rPr>
          <w:rFonts w:ascii="宋体" w:cs="宋体"/>
          <w:sz w:val="24"/>
          <w:szCs w:val="24"/>
          <w:highlight w:val="none"/>
        </w:rPr>
      </w:r>
      <w:r/>
    </w:p>
    <w:p>
      <w:pPr>
        <w:rPr>
          <w:rFonts w:ascii="宋体" w:cs="宋体"/>
          <w:sz w:val="24"/>
          <w:szCs w:val="24"/>
          <w:highlight w:val="none"/>
        </w:rPr>
      </w:pPr>
      <w:r/>
      <w:bookmarkStart w:id="55" w:name="_Toc9297"/>
      <w:r>
        <w:rPr>
          <w:rFonts w:hint="eastAsia" w:ascii="宋体" w:cs="宋体"/>
          <w:sz w:val="24"/>
          <w:szCs w:val="24"/>
          <w:highlight w:val="none"/>
        </w:rPr>
        <w:br w:type="page" w:clear="all"/>
      </w:r>
      <w:r/>
    </w:p>
    <w:p>
      <w:pPr>
        <w:ind w:firstLine="480"/>
        <w:spacing w:line="360" w:lineRule="exact"/>
        <w:rPr>
          <w:rFonts w:ascii="宋体" w:cs="宋体"/>
          <w:sz w:val="24"/>
          <w:szCs w:val="24"/>
          <w:highlight w:val="none"/>
        </w:rPr>
      </w:pPr>
      <w:r>
        <w:rPr>
          <w:rFonts w:hint="eastAsia" w:ascii="宋体" w:cs="宋体"/>
          <w:sz w:val="24"/>
          <w:szCs w:val="24"/>
          <w:highlight w:val="none"/>
        </w:rPr>
        <w:t xml:space="preserve">属于监狱企业的证明文件</w:t>
      </w:r>
      <w:bookmarkEnd w:id="55"/>
      <w:r/>
      <w:r/>
    </w:p>
    <w:p>
      <w:pPr>
        <w:ind w:firstLine="480"/>
        <w:spacing w:line="360" w:lineRule="exact"/>
        <w:rPr>
          <w:rFonts w:ascii="宋体" w:cs="宋体"/>
          <w:sz w:val="24"/>
          <w:szCs w:val="24"/>
          <w:highlight w:val="none"/>
        </w:rPr>
      </w:pPr>
      <w:r>
        <w:rPr>
          <w:rFonts w:hint="eastAsia" w:ascii="宋体" w:cs="宋体"/>
          <w:sz w:val="24"/>
          <w:szCs w:val="24"/>
          <w:highlight w:val="none"/>
        </w:rPr>
        <w:t xml:space="preserve">（提供由省级以上监狱管理局、戒毒管理局(含新疆生产建设兵团)出具的属于监狱企业的证 明文件）</w:t>
      </w:r>
      <w:r/>
    </w:p>
    <w:p>
      <w:pPr>
        <w:ind w:firstLine="480"/>
        <w:spacing w:line="360" w:lineRule="exact"/>
        <w:rPr>
          <w:rFonts w:ascii="宋体" w:cs="宋体"/>
          <w:sz w:val="24"/>
          <w:szCs w:val="24"/>
          <w:highlight w:val="none"/>
        </w:rPr>
      </w:pPr>
      <w:r>
        <w:rPr>
          <w:rFonts w:ascii="宋体" w:cs="宋体"/>
          <w:sz w:val="24"/>
          <w:szCs w:val="24"/>
          <w:highlight w:val="none"/>
        </w:rPr>
      </w:r>
      <w:r/>
    </w:p>
    <w:p>
      <w:pPr>
        <w:ind w:firstLine="480"/>
        <w:spacing w:line="360" w:lineRule="exact"/>
        <w:rPr>
          <w:rFonts w:ascii="宋体" w:cs="宋体"/>
          <w:sz w:val="24"/>
          <w:szCs w:val="24"/>
          <w:highlight w:val="none"/>
        </w:rPr>
      </w:pPr>
      <w:r>
        <w:rPr>
          <w:rFonts w:ascii="宋体" w:cs="宋体"/>
          <w:sz w:val="24"/>
          <w:szCs w:val="24"/>
          <w:highlight w:val="none"/>
        </w:rPr>
      </w:r>
      <w:r/>
    </w:p>
    <w:p>
      <w:pPr>
        <w:ind w:firstLine="480"/>
        <w:spacing w:line="360" w:lineRule="exact"/>
        <w:rPr>
          <w:rFonts w:ascii="宋体" w:cs="宋体"/>
          <w:sz w:val="24"/>
          <w:szCs w:val="24"/>
          <w:highlight w:val="none"/>
        </w:rPr>
      </w:pPr>
      <w:r/>
      <w:bookmarkStart w:id="56" w:name="_Toc27518"/>
      <w:r>
        <w:rPr>
          <w:rFonts w:hint="eastAsia" w:ascii="宋体" w:cs="宋体"/>
          <w:sz w:val="24"/>
          <w:szCs w:val="24"/>
          <w:highlight w:val="none"/>
        </w:rPr>
        <w:t xml:space="preserve">节能产品认证文件</w:t>
      </w:r>
      <w:bookmarkEnd w:id="56"/>
      <w:r/>
      <w:r/>
    </w:p>
    <w:p>
      <w:pPr>
        <w:ind w:firstLine="480"/>
        <w:spacing w:line="360" w:lineRule="exact"/>
        <w:rPr>
          <w:rFonts w:ascii="宋体" w:cs="宋体"/>
          <w:sz w:val="24"/>
          <w:szCs w:val="24"/>
          <w:highlight w:val="none"/>
        </w:rPr>
      </w:pPr>
      <w:r>
        <w:rPr>
          <w:rFonts w:hint="eastAsia" w:ascii="宋体" w:cs="宋体"/>
          <w:sz w:val="24"/>
          <w:szCs w:val="24"/>
          <w:highlight w:val="none"/>
        </w:rPr>
        <w:t xml:space="preserve">（提供产品在《节能产品政府采购清单》中相应的页面）</w:t>
      </w:r>
      <w:r/>
    </w:p>
    <w:p>
      <w:pPr>
        <w:ind w:firstLine="480"/>
        <w:spacing w:line="360" w:lineRule="exact"/>
        <w:rPr>
          <w:rFonts w:ascii="宋体" w:cs="宋体"/>
          <w:sz w:val="24"/>
          <w:szCs w:val="24"/>
          <w:highlight w:val="none"/>
        </w:rPr>
      </w:pPr>
      <w:r>
        <w:rPr>
          <w:rFonts w:ascii="宋体" w:cs="宋体"/>
          <w:sz w:val="24"/>
          <w:szCs w:val="24"/>
          <w:highlight w:val="none"/>
        </w:rPr>
      </w:r>
      <w:r/>
    </w:p>
    <w:p>
      <w:pPr>
        <w:ind w:firstLine="480"/>
        <w:spacing w:line="360" w:lineRule="exact"/>
        <w:rPr>
          <w:rFonts w:ascii="宋体" w:cs="宋体"/>
          <w:sz w:val="24"/>
          <w:szCs w:val="24"/>
          <w:highlight w:val="none"/>
        </w:rPr>
      </w:pPr>
      <w:r>
        <w:rPr>
          <w:rFonts w:ascii="宋体" w:cs="宋体"/>
          <w:sz w:val="24"/>
          <w:szCs w:val="24"/>
          <w:highlight w:val="none"/>
        </w:rPr>
      </w:r>
      <w:r/>
    </w:p>
    <w:p>
      <w:pPr>
        <w:ind w:firstLine="480"/>
        <w:spacing w:line="360" w:lineRule="exact"/>
        <w:rPr>
          <w:rFonts w:ascii="宋体" w:cs="宋体"/>
          <w:sz w:val="24"/>
          <w:szCs w:val="24"/>
          <w:highlight w:val="none"/>
        </w:rPr>
      </w:pPr>
      <w:r/>
      <w:bookmarkStart w:id="57" w:name="_Toc12203"/>
      <w:r>
        <w:rPr>
          <w:rFonts w:hint="eastAsia" w:ascii="宋体" w:cs="宋体"/>
          <w:sz w:val="24"/>
          <w:szCs w:val="24"/>
          <w:highlight w:val="none"/>
        </w:rPr>
        <w:t xml:space="preserve">环境标志产品认证文件</w:t>
      </w:r>
      <w:bookmarkEnd w:id="57"/>
      <w:r/>
      <w:r/>
    </w:p>
    <w:p>
      <w:pPr>
        <w:jc w:val="left"/>
        <w:widowControl/>
        <w:rPr>
          <w:rFonts w:ascii="宋体" w:cs="宋体"/>
          <w:sz w:val="24"/>
          <w:szCs w:val="24"/>
          <w:highlight w:val="none"/>
        </w:rPr>
      </w:pPr>
      <w:r>
        <w:rPr>
          <w:rFonts w:hint="eastAsia" w:ascii="宋体" w:cs="宋体"/>
          <w:sz w:val="24"/>
          <w:szCs w:val="24"/>
          <w:highlight w:val="none"/>
        </w:rPr>
        <w:t xml:space="preserve">（提供产品在《环境标志产品政府采购清单》中相应的页面）</w:t>
      </w:r>
      <w:r/>
    </w:p>
    <w:p>
      <w:pPr>
        <w:pStyle w:val="922"/>
        <w:ind w:firstLine="420"/>
        <w:spacing w:after="0" w:line="360" w:lineRule="auto"/>
        <w:rPr>
          <w:rFonts w:ascii="Times New Roman" w:hAnsi="Times New Roman" w:cs="Times New Roman"/>
          <w:highlight w:val="none"/>
        </w:rPr>
      </w:pPr>
      <w:r>
        <w:rPr>
          <w:rFonts w:ascii="Times New Roman" w:hAnsi="Times New Roman" w:cs="Times New Roman"/>
          <w:highlight w:val="none"/>
        </w:rPr>
      </w:r>
      <w:r/>
    </w:p>
    <w:p>
      <w:pPr>
        <w:ind w:firstLine="420"/>
        <w:spacing w:line="360" w:lineRule="auto"/>
        <w:rPr>
          <w:rFonts w:ascii="Times New Roman" w:hAnsi="Times New Roman" w:cs="Times New Roman"/>
          <w:szCs w:val="21"/>
          <w:highlight w:val="none"/>
        </w:rPr>
      </w:pPr>
      <w:r>
        <w:rPr>
          <w:rFonts w:ascii="Times New Roman" w:hAnsi="Times New Roman" w:cs="Times New Roman"/>
          <w:szCs w:val="21"/>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r>
      <w:bookmarkEnd w:id="25"/>
      <w:r/>
      <w:bookmarkEnd w:id="26"/>
      <w:r/>
      <w:bookmarkEnd w:id="27"/>
      <w:r/>
      <w:bookmarkEnd w:id="28"/>
      <w:r/>
      <w:r/>
    </w:p>
    <w:p>
      <w:pPr>
        <w:jc w:val="left"/>
        <w:widowControl/>
        <w:rPr>
          <w:rFonts w:ascii="Times New Roman" w:hAnsi="Times New Roman" w:eastAsia="黑体" w:cs="Times New Roman"/>
          <w:sz w:val="24"/>
          <w:szCs w:val="24"/>
          <w:highlight w:val="none"/>
        </w:rPr>
      </w:pPr>
      <w:r>
        <w:rPr>
          <w:rFonts w:ascii="Times New Roman" w:hAnsi="Times New Roman" w:eastAsia="黑体" w:cs="Times New Roman"/>
          <w:sz w:val="24"/>
          <w:szCs w:val="24"/>
          <w:highlight w:val="none"/>
        </w:rPr>
      </w:r>
      <w:r/>
    </w:p>
    <w:sectPr>
      <w:headerReference w:type="default" r:id="rId10"/>
      <w:footerReference w:type="default" r:id="rId13"/>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方正小标宋_GBK">
    <w:panose1 w:val="020B0503020202020204"/>
  </w:font>
  <w:font w:name="方正黑体_GBK">
    <w:panose1 w:val="020B0503020202020204"/>
  </w:font>
  <w:font w:name="方正仿宋_GBK">
    <w:panose1 w:val="020B0503020202020204"/>
  </w:font>
  <w:font w:name="Wingdings">
    <w:panose1 w:val="05000000000000000000"/>
  </w:font>
  <w:font w:name="华文彩云">
    <w:panose1 w:val="02010800040101010101"/>
  </w:font>
  <w:font w:name="Courier New">
    <w:panose1 w:val="02070309020205020404"/>
  </w:font>
  <w:font w:name="Microsoft JhengHei UI">
    <w:panose1 w:val="020B0604030504040204"/>
  </w:font>
  <w:font w:name="仿宋">
    <w:panose1 w:val="02010609060101010101"/>
  </w:font>
  <w:font w:name="等线">
    <w:panose1 w:val="02010600030101010101"/>
  </w:font>
  <w:font w:name="方正楷体_GBK">
    <w:panose1 w:val="020B0503020202020204"/>
  </w:font>
  <w:font w:name="Symbol">
    <w:panose1 w:val="05050102010706020507"/>
  </w:font>
  <w:font w:name="楷体">
    <w:panose1 w:val="02010609060101010101"/>
  </w:font>
  <w:font w:name="黑体">
    <w:panose1 w:val="02010609060101010101"/>
  </w:font>
  <w:font w:name="方正魏碑_GBK">
    <w:panose1 w:val="020B0503020202020204"/>
  </w:font>
  <w:font w:name="Calibri Light">
    <w:panose1 w:val="020F030202020403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ascii="Times New Roman" w:hAnsi="Times New Roman" w:cs="Times New Roman"/>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t xml:space="preserve">第 </w:t>
                          </w:r>
                          <w:r>
                            <w:fldChar w:fldCharType="begin"/>
                          </w:r>
                          <w:r>
                            <w:instrText xml:space="preserve"> PAGE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pPr>
                    <w:r>
                      <w:t xml:space="preserve">第 </w:t>
                    </w:r>
                    <w:r>
                      <w:fldChar w:fldCharType="begin"/>
                    </w:r>
                    <w:r>
                      <w:instrText xml:space="preserve"> PAGE  \* MERGEFORMAT </w:instrText>
                    </w:r>
                    <w:r>
                      <w:fldChar w:fldCharType="separate"/>
                    </w:r>
                    <w:r>
                      <w:t xml:space="preserve">62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rPr>
        <w:rFonts w:ascii="Times New Roman" w:hAnsi="Times New Roman" w:cs="Times New Roman"/>
        <w:sz w:val="21"/>
        <w:szCs w:val="21"/>
      </w:rPr>
    </w:pPr>
    <w:r>
      <w:rPr>
        <w:rFonts w:hint="eastAsia" w:ascii="Times New Roman" w:hAnsi="Times New Roman" w:cs="Times New Roman"/>
        <w:sz w:val="21"/>
      </w:rPr>
      <w:t xml:space="preserve">江苏省医疗保障信息平台统一应用系统运行维护项目（2026）目</w:t>
    </w:r>
    <w:r>
      <w:rPr>
        <w:rFonts w:ascii="Times New Roman" w:hAnsi="Times New Roman" w:cs="Times New Roman"/>
        <w:sz w:val="21"/>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Fonts w:ascii="Times New Roman" w:hAnsi="Times New Roman" w:cs="Times New Roman"/>
      </w:rPr>
    </w:pPr>
    <w:r>
      <w:rPr>
        <w:rFonts w:hint="eastAsia" w:ascii="Times New Roman" w:hAnsi="Times New Roman" w:cs="Times New Roman"/>
        <w:sz w:val="21"/>
      </w:rPr>
      <w:t xml:space="preserve">               江苏省医疗保障信息平台统一应用系统运行维护项目（2026）项目</w:t>
    </w:r>
    <w:r>
      <w:rPr>
        <w:rFonts w:ascii="Times New Roman" w:hAnsi="Times New Roman" w:cs="Times New Roman"/>
        <w:sz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1060" w:hanging="420"/>
      </w:pPr>
    </w:lvl>
    <w:lvl w:ilvl="1">
      <w:start w:val="1"/>
      <w:numFmt w:val="lowerLetter"/>
      <w:isLgl w:val="false"/>
      <w:suff w:val="tab"/>
      <w:lvlText w:val="%2)"/>
      <w:lvlJc w:val="left"/>
      <w:pPr>
        <w:ind w:left="1480" w:hanging="420"/>
      </w:pPr>
    </w:lvl>
    <w:lvl w:ilvl="2">
      <w:start w:val="1"/>
      <w:numFmt w:val="lowerRoman"/>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isLgl w:val="false"/>
      <w:suff w:val="tab"/>
      <w:lvlText w:val="%5)"/>
      <w:lvlJc w:val="left"/>
      <w:pPr>
        <w:ind w:left="2740" w:hanging="420"/>
      </w:pPr>
    </w:lvl>
    <w:lvl w:ilvl="5">
      <w:start w:val="1"/>
      <w:numFmt w:val="lowerRoman"/>
      <w:isLgl w:val="false"/>
      <w:suff w:val="tab"/>
      <w:lvlText w:val="%6."/>
      <w:lvlJc w:val="right"/>
      <w:pPr>
        <w:ind w:left="3160" w:hanging="420"/>
      </w:pPr>
    </w:lvl>
    <w:lvl w:ilvl="6">
      <w:start w:val="1"/>
      <w:numFmt w:val="decimal"/>
      <w:isLgl w:val="false"/>
      <w:suff w:val="tab"/>
      <w:lvlText w:val="%7."/>
      <w:lvlJc w:val="left"/>
      <w:pPr>
        <w:ind w:left="3580" w:hanging="420"/>
      </w:pPr>
    </w:lvl>
    <w:lvl w:ilvl="7">
      <w:start w:val="1"/>
      <w:numFmt w:val="lowerLetter"/>
      <w:isLgl w:val="false"/>
      <w:suff w:val="tab"/>
      <w:lvlText w:val="%8)"/>
      <w:lvlJc w:val="left"/>
      <w:pPr>
        <w:ind w:left="4000" w:hanging="420"/>
      </w:pPr>
    </w:lvl>
    <w:lvl w:ilvl="8">
      <w:start w:val="1"/>
      <w:numFmt w:val="lowerRoman"/>
      <w:isLgl w:val="false"/>
      <w:suff w:val="tab"/>
      <w:lvlText w:val="%9."/>
      <w:lvlJc w:val="right"/>
      <w:pPr>
        <w:ind w:left="442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916"/>
    <w:link w:val="912"/>
    <w:uiPriority w:val="9"/>
    <w:rPr>
      <w:rFonts w:ascii="Arial" w:hAnsi="Arial" w:eastAsia="Arial" w:cs="Arial"/>
      <w:sz w:val="40"/>
      <w:szCs w:val="40"/>
    </w:rPr>
  </w:style>
  <w:style w:type="character" w:styleId="747">
    <w:name w:val="Heading 2 Char"/>
    <w:basedOn w:val="916"/>
    <w:link w:val="913"/>
    <w:uiPriority w:val="9"/>
    <w:rPr>
      <w:rFonts w:ascii="Arial" w:hAnsi="Arial" w:eastAsia="Arial" w:cs="Arial"/>
      <w:sz w:val="34"/>
    </w:rPr>
  </w:style>
  <w:style w:type="character" w:styleId="748">
    <w:name w:val="Heading 3 Char"/>
    <w:basedOn w:val="916"/>
    <w:link w:val="914"/>
    <w:uiPriority w:val="9"/>
    <w:rPr>
      <w:rFonts w:ascii="Arial" w:hAnsi="Arial" w:eastAsia="Arial" w:cs="Arial"/>
      <w:sz w:val="30"/>
      <w:szCs w:val="30"/>
    </w:rPr>
  </w:style>
  <w:style w:type="character" w:styleId="749">
    <w:name w:val="Heading 4 Char"/>
    <w:basedOn w:val="916"/>
    <w:link w:val="915"/>
    <w:uiPriority w:val="9"/>
    <w:rPr>
      <w:rFonts w:ascii="Arial" w:hAnsi="Arial" w:eastAsia="Arial" w:cs="Arial"/>
      <w:b/>
      <w:bCs/>
      <w:sz w:val="26"/>
      <w:szCs w:val="26"/>
    </w:rPr>
  </w:style>
  <w:style w:type="paragraph" w:styleId="750">
    <w:name w:val="Heading 5"/>
    <w:basedOn w:val="911"/>
    <w:next w:val="911"/>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basedOn w:val="916"/>
    <w:link w:val="750"/>
    <w:uiPriority w:val="9"/>
    <w:rPr>
      <w:rFonts w:ascii="Arial" w:hAnsi="Arial" w:eastAsia="Arial" w:cs="Arial"/>
      <w:b/>
      <w:bCs/>
      <w:sz w:val="24"/>
      <w:szCs w:val="24"/>
    </w:rPr>
  </w:style>
  <w:style w:type="paragraph" w:styleId="752">
    <w:name w:val="Heading 6"/>
    <w:basedOn w:val="911"/>
    <w:next w:val="911"/>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basedOn w:val="916"/>
    <w:link w:val="752"/>
    <w:uiPriority w:val="9"/>
    <w:rPr>
      <w:rFonts w:ascii="Arial" w:hAnsi="Arial" w:eastAsia="Arial" w:cs="Arial"/>
      <w:b/>
      <w:bCs/>
      <w:sz w:val="22"/>
      <w:szCs w:val="22"/>
    </w:rPr>
  </w:style>
  <w:style w:type="paragraph" w:styleId="754">
    <w:name w:val="Heading 7"/>
    <w:basedOn w:val="911"/>
    <w:next w:val="911"/>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basedOn w:val="916"/>
    <w:link w:val="754"/>
    <w:uiPriority w:val="9"/>
    <w:rPr>
      <w:rFonts w:ascii="Arial" w:hAnsi="Arial" w:eastAsia="Arial" w:cs="Arial"/>
      <w:b/>
      <w:bCs/>
      <w:i/>
      <w:iCs/>
      <w:sz w:val="22"/>
      <w:szCs w:val="22"/>
    </w:rPr>
  </w:style>
  <w:style w:type="paragraph" w:styleId="756">
    <w:name w:val="Heading 8"/>
    <w:basedOn w:val="911"/>
    <w:next w:val="911"/>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basedOn w:val="916"/>
    <w:link w:val="756"/>
    <w:uiPriority w:val="9"/>
    <w:rPr>
      <w:rFonts w:ascii="Arial" w:hAnsi="Arial" w:eastAsia="Arial" w:cs="Arial"/>
      <w:i/>
      <w:iCs/>
      <w:sz w:val="22"/>
      <w:szCs w:val="22"/>
    </w:rPr>
  </w:style>
  <w:style w:type="paragraph" w:styleId="758">
    <w:name w:val="Heading 9"/>
    <w:basedOn w:val="911"/>
    <w:next w:val="911"/>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basedOn w:val="916"/>
    <w:link w:val="758"/>
    <w:uiPriority w:val="9"/>
    <w:rPr>
      <w:rFonts w:ascii="Arial" w:hAnsi="Arial" w:eastAsia="Arial" w:cs="Arial"/>
      <w:i/>
      <w:iCs/>
      <w:sz w:val="21"/>
      <w:szCs w:val="21"/>
    </w:rPr>
  </w:style>
  <w:style w:type="paragraph" w:styleId="760">
    <w:name w:val="No Spacing"/>
    <w:uiPriority w:val="1"/>
    <w:qFormat/>
    <w:pPr>
      <w:spacing w:before="0" w:after="0" w:line="240" w:lineRule="auto"/>
    </w:pPr>
  </w:style>
  <w:style w:type="paragraph" w:styleId="761">
    <w:name w:val="Title"/>
    <w:basedOn w:val="911"/>
    <w:next w:val="911"/>
    <w:link w:val="762"/>
    <w:uiPriority w:val="10"/>
    <w:qFormat/>
    <w:pPr>
      <w:contextualSpacing/>
      <w:spacing w:before="300" w:after="200"/>
    </w:pPr>
    <w:rPr>
      <w:sz w:val="48"/>
      <w:szCs w:val="48"/>
    </w:rPr>
  </w:style>
  <w:style w:type="character" w:styleId="762">
    <w:name w:val="Title Char"/>
    <w:basedOn w:val="916"/>
    <w:link w:val="761"/>
    <w:uiPriority w:val="10"/>
    <w:rPr>
      <w:sz w:val="48"/>
      <w:szCs w:val="48"/>
    </w:rPr>
  </w:style>
  <w:style w:type="paragraph" w:styleId="763">
    <w:name w:val="Subtitle"/>
    <w:basedOn w:val="911"/>
    <w:next w:val="911"/>
    <w:link w:val="764"/>
    <w:uiPriority w:val="11"/>
    <w:qFormat/>
    <w:pPr>
      <w:spacing w:before="200" w:after="200"/>
    </w:pPr>
    <w:rPr>
      <w:sz w:val="24"/>
      <w:szCs w:val="24"/>
    </w:rPr>
  </w:style>
  <w:style w:type="character" w:styleId="764">
    <w:name w:val="Subtitle Char"/>
    <w:basedOn w:val="916"/>
    <w:link w:val="763"/>
    <w:uiPriority w:val="11"/>
    <w:rPr>
      <w:sz w:val="24"/>
      <w:szCs w:val="24"/>
    </w:rPr>
  </w:style>
  <w:style w:type="paragraph" w:styleId="765">
    <w:name w:val="Quote"/>
    <w:basedOn w:val="911"/>
    <w:next w:val="911"/>
    <w:link w:val="766"/>
    <w:uiPriority w:val="29"/>
    <w:qFormat/>
    <w:pPr>
      <w:ind w:left="720" w:right="720"/>
    </w:pPr>
    <w:rPr>
      <w:i/>
    </w:rPr>
  </w:style>
  <w:style w:type="character" w:styleId="766">
    <w:name w:val="Quote Char"/>
    <w:link w:val="765"/>
    <w:uiPriority w:val="29"/>
    <w:rPr>
      <w:i/>
    </w:rPr>
  </w:style>
  <w:style w:type="paragraph" w:styleId="767">
    <w:name w:val="Intense Quote"/>
    <w:basedOn w:val="911"/>
    <w:next w:val="911"/>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character" w:styleId="769">
    <w:name w:val="Header Char"/>
    <w:basedOn w:val="916"/>
    <w:link w:val="934"/>
    <w:uiPriority w:val="99"/>
  </w:style>
  <w:style w:type="character" w:styleId="770">
    <w:name w:val="Footer Char"/>
    <w:basedOn w:val="916"/>
    <w:link w:val="933"/>
    <w:uiPriority w:val="99"/>
  </w:style>
  <w:style w:type="paragraph" w:styleId="771">
    <w:name w:val="Caption"/>
    <w:basedOn w:val="911"/>
    <w:next w:val="911"/>
    <w:uiPriority w:val="35"/>
    <w:semiHidden/>
    <w:unhideWhenUsed/>
    <w:qFormat/>
    <w:pPr>
      <w:spacing w:line="276" w:lineRule="auto"/>
    </w:pPr>
    <w:rPr>
      <w:b/>
      <w:bCs/>
      <w:color w:val="4f81bd" w:themeColor="accent1"/>
      <w:sz w:val="18"/>
      <w:szCs w:val="18"/>
    </w:rPr>
  </w:style>
  <w:style w:type="character" w:styleId="772">
    <w:name w:val="Caption Char"/>
    <w:basedOn w:val="771"/>
    <w:link w:val="933"/>
    <w:uiPriority w:val="99"/>
  </w:style>
  <w:style w:type="table" w:styleId="773">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Footnote Text Char"/>
    <w:link w:val="936"/>
    <w:uiPriority w:val="99"/>
    <w:rPr>
      <w:sz w:val="18"/>
    </w:rPr>
  </w:style>
  <w:style w:type="character" w:styleId="899">
    <w:name w:val="footnote reference"/>
    <w:basedOn w:val="916"/>
    <w:uiPriority w:val="99"/>
    <w:unhideWhenUsed/>
    <w:rPr>
      <w:vertAlign w:val="superscript"/>
    </w:rPr>
  </w:style>
  <w:style w:type="paragraph" w:styleId="900">
    <w:name w:val="endnote text"/>
    <w:basedOn w:val="911"/>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basedOn w:val="916"/>
    <w:uiPriority w:val="99"/>
    <w:semiHidden/>
    <w:unhideWhenUsed/>
    <w:rPr>
      <w:vertAlign w:val="superscript"/>
    </w:r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uiPriority w:val="0"/>
    <w:qFormat/>
    <w:pPr>
      <w:jc w:val="both"/>
      <w:widowControl w:val="off"/>
    </w:pPr>
    <w:rPr>
      <w:rFonts w:ascii="Calibri" w:hAnsi="Calibri" w:eastAsia="宋体" w:cs="Arial"/>
      <w:sz w:val="21"/>
      <w:szCs w:val="22"/>
      <w:lang w:val="en-US" w:eastAsia="zh-CN" w:bidi="ar-SA"/>
    </w:rPr>
  </w:style>
  <w:style w:type="paragraph" w:styleId="912">
    <w:name w:val="Heading 1"/>
    <w:basedOn w:val="911"/>
    <w:next w:val="911"/>
    <w:uiPriority w:val="0"/>
    <w:qFormat/>
    <w:pPr>
      <w:keepLines/>
      <w:keepNext/>
      <w:spacing w:before="340" w:after="330" w:line="578" w:lineRule="auto"/>
      <w:outlineLvl w:val="0"/>
    </w:pPr>
    <w:rPr>
      <w:b/>
      <w:bCs/>
      <w:sz w:val="44"/>
      <w:szCs w:val="44"/>
    </w:rPr>
  </w:style>
  <w:style w:type="paragraph" w:styleId="913">
    <w:name w:val="Heading 2"/>
    <w:basedOn w:val="911"/>
    <w:next w:val="911"/>
    <w:uiPriority w:val="0"/>
    <w:qFormat/>
    <w:pPr>
      <w:jc w:val="center"/>
      <w:keepLines/>
      <w:keepNext/>
      <w:spacing w:before="260" w:after="260" w:line="415" w:lineRule="auto"/>
      <w:outlineLvl w:val="1"/>
    </w:pPr>
    <w:rPr>
      <w:rFonts w:ascii="Arial" w:hAnsi="Arial"/>
      <w:b/>
      <w:bCs/>
      <w:sz w:val="44"/>
      <w:szCs w:val="44"/>
    </w:rPr>
  </w:style>
  <w:style w:type="paragraph" w:styleId="914">
    <w:name w:val="Heading 3"/>
    <w:basedOn w:val="911"/>
    <w:next w:val="911"/>
    <w:uiPriority w:val="0"/>
    <w:qFormat/>
    <w:pPr>
      <w:keepLines/>
      <w:keepNext/>
      <w:spacing w:before="260" w:after="260" w:line="413" w:lineRule="auto"/>
      <w:outlineLvl w:val="2"/>
    </w:pPr>
    <w:rPr>
      <w:b/>
      <w:sz w:val="32"/>
    </w:rPr>
  </w:style>
  <w:style w:type="paragraph" w:styleId="915">
    <w:name w:val="Heading 4"/>
    <w:basedOn w:val="911"/>
    <w:next w:val="911"/>
    <w:uiPriority w:val="0"/>
    <w:qFormat/>
    <w:pPr>
      <w:keepLines/>
      <w:keepNext/>
      <w:spacing w:before="280" w:after="290" w:line="377" w:lineRule="auto"/>
      <w:outlineLvl w:val="3"/>
    </w:pPr>
    <w:rPr>
      <w:rFonts w:ascii="Calibri Light" w:hAnsi="Calibri Light" w:cs="Times New Roman"/>
      <w:b/>
      <w:bCs/>
      <w:sz w:val="28"/>
      <w:szCs w:val="28"/>
    </w:rPr>
  </w:style>
  <w:style w:type="character" w:styleId="916" w:default="1">
    <w:name w:val="Default Paragraph Font"/>
    <w:uiPriority w:val="1"/>
    <w:semiHidden/>
    <w:unhideWhenUsed/>
  </w:style>
  <w:style w:type="table" w:styleId="917" w:default="1">
    <w:name w:val="Normal Table"/>
    <w:uiPriority w:val="99"/>
    <w:semiHidden/>
    <w:unhideWhenUsed/>
    <w:tblPr>
      <w:tblCellMar>
        <w:left w:w="108" w:type="dxa"/>
        <w:top w:w="0" w:type="dxa"/>
        <w:right w:w="108" w:type="dxa"/>
        <w:bottom w:w="0" w:type="dxa"/>
      </w:tblCellMar>
    </w:tblPr>
  </w:style>
  <w:style w:type="paragraph" w:styleId="918">
    <w:name w:val="Normal Indent"/>
    <w:basedOn w:val="911"/>
    <w:uiPriority w:val="0"/>
    <w:qFormat/>
    <w:pPr>
      <w:ind w:firstLine="420"/>
    </w:pPr>
    <w:rPr>
      <w:rFonts w:ascii="Times New Roman" w:hAnsi="Times New Roman" w:cs="Times New Roman"/>
      <w:szCs w:val="20"/>
    </w:rPr>
  </w:style>
  <w:style w:type="paragraph" w:styleId="919">
    <w:name w:val="index 5"/>
    <w:next w:val="911"/>
    <w:uiPriority w:val="0"/>
    <w:qFormat/>
    <w:pPr>
      <w:ind w:left="380"/>
      <w:widowControl w:val="off"/>
    </w:pPr>
    <w:rPr>
      <w:rFonts w:ascii="Calibri" w:hAnsi="Calibri" w:eastAsia="宋体" w:cs="Times New Roman"/>
      <w:sz w:val="21"/>
      <w:szCs w:val="24"/>
      <w:lang w:val="en-US" w:eastAsia="zh-CN" w:bidi="ar-SA"/>
    </w:rPr>
  </w:style>
  <w:style w:type="paragraph" w:styleId="920">
    <w:name w:val="annotation text"/>
    <w:basedOn w:val="911"/>
    <w:uiPriority w:val="0"/>
    <w:qFormat/>
    <w:pPr>
      <w:jc w:val="left"/>
    </w:pPr>
    <w:rPr>
      <w:rFonts w:ascii="Times New Roman" w:hAnsi="Times New Roman" w:cs="Times New Roman"/>
      <w:szCs w:val="20"/>
    </w:rPr>
  </w:style>
  <w:style w:type="paragraph" w:styleId="921">
    <w:name w:val="Body Text 3"/>
    <w:basedOn w:val="911"/>
    <w:uiPriority w:val="0"/>
    <w:qFormat/>
    <w:pPr>
      <w:spacing w:after="120"/>
    </w:pPr>
    <w:rPr>
      <w:rFonts w:ascii="Times New Roman" w:hAnsi="Times New Roman" w:cs="Times New Roman"/>
      <w:sz w:val="16"/>
      <w:szCs w:val="16"/>
    </w:rPr>
  </w:style>
  <w:style w:type="paragraph" w:styleId="922">
    <w:name w:val="Body Text"/>
    <w:basedOn w:val="911"/>
    <w:next w:val="923"/>
    <w:uiPriority w:val="0"/>
    <w:qFormat/>
    <w:pPr>
      <w:spacing w:after="120"/>
    </w:pPr>
  </w:style>
  <w:style w:type="paragraph" w:styleId="923" w:customStyle="1">
    <w:name w:val="一级条标题"/>
    <w:next w:val="924"/>
    <w:uiPriority w:val="0"/>
    <w:qFormat/>
    <w:pPr>
      <w:ind w:left="907" w:hanging="907"/>
      <w:jc w:val="both"/>
      <w:tabs>
        <w:tab w:val="left" w:pos="810" w:leader="none"/>
        <w:tab w:val="left" w:pos="907" w:leader="none"/>
        <w:tab w:val="left" w:pos="1265" w:leader="none"/>
      </w:tabs>
      <w:outlineLvl w:val="2"/>
    </w:pPr>
    <w:rPr>
      <w:rFonts w:ascii="黑体" w:hAnsi="Times New Roman" w:eastAsia="黑体" w:cs="Times New Roman"/>
      <w:lang w:val="en-US" w:eastAsia="zh-CN" w:bidi="ar-SA"/>
    </w:rPr>
  </w:style>
  <w:style w:type="paragraph" w:styleId="924" w:customStyle="1">
    <w:name w:val="段"/>
    <w:next w:val="91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25">
    <w:name w:val="Body Text Indent"/>
    <w:basedOn w:val="911"/>
    <w:next w:val="926"/>
    <w:uiPriority w:val="0"/>
    <w:qFormat/>
    <w:pPr>
      <w:ind w:left="900"/>
      <w:spacing w:after="120" w:line="360" w:lineRule="atLeast"/>
    </w:pPr>
    <w:rPr>
      <w:rFonts w:ascii="楷体" w:eastAsia="楷体" w:cs="Times New Roman"/>
      <w:sz w:val="28"/>
      <w:szCs w:val="20"/>
    </w:rPr>
  </w:style>
  <w:style w:type="paragraph" w:styleId="926">
    <w:name w:val="envelope return"/>
    <w:basedOn w:val="911"/>
    <w:uiPriority w:val="0"/>
    <w:qFormat/>
    <w:rPr>
      <w:rFonts w:ascii="Arial" w:hAnsi="Arial"/>
    </w:rPr>
  </w:style>
  <w:style w:type="paragraph" w:styleId="927">
    <w:name w:val="Block Text"/>
    <w:uiPriority w:val="0"/>
    <w:qFormat/>
    <w:pPr>
      <w:ind w:left="3600" w:right="-288" w:hanging="2880"/>
      <w:jc w:val="both"/>
      <w:spacing w:after="100"/>
      <w:widowControl w:val="off"/>
      <w:tabs>
        <w:tab w:val="left" w:pos="1440" w:leader="none"/>
      </w:tabs>
    </w:pPr>
    <w:rPr>
      <w:rFonts w:ascii="Times New Roman" w:hAnsi="Times New Roman" w:eastAsia="宋体" w:cs="Times New Roman"/>
      <w:sz w:val="22"/>
      <w:lang w:val="en-US" w:eastAsia="zh-CN" w:bidi="ar-SA"/>
    </w:rPr>
  </w:style>
  <w:style w:type="paragraph" w:styleId="928">
    <w:name w:val="index 4"/>
    <w:next w:val="911"/>
    <w:uiPriority w:val="0"/>
    <w:unhideWhenUsed/>
    <w:qFormat/>
    <w:pPr>
      <w:ind w:left="600"/>
      <w:jc w:val="both"/>
      <w:widowControl w:val="off"/>
    </w:pPr>
    <w:rPr>
      <w:rFonts w:ascii="Times New Roman" w:hAnsi="Times New Roman" w:eastAsia="宋体" w:cs="Times New Roman"/>
      <w:sz w:val="21"/>
      <w:szCs w:val="24"/>
      <w:lang w:val="en-US" w:eastAsia="zh-CN" w:bidi="ar-SA"/>
    </w:rPr>
  </w:style>
  <w:style w:type="paragraph" w:styleId="929">
    <w:name w:val="toc 3"/>
    <w:basedOn w:val="911"/>
    <w:next w:val="911"/>
    <w:uiPriority w:val="0"/>
    <w:qFormat/>
    <w:pPr>
      <w:ind w:left="440"/>
      <w:jc w:val="left"/>
      <w:spacing w:after="100" w:line="259" w:lineRule="auto"/>
      <w:widowControl/>
    </w:pPr>
    <w:rPr>
      <w:rFonts w:ascii="Times New Roman" w:hAnsi="Times New Roman" w:cs="Times New Roman"/>
      <w:sz w:val="22"/>
    </w:rPr>
  </w:style>
  <w:style w:type="paragraph" w:styleId="930">
    <w:name w:val="Plain Text"/>
    <w:basedOn w:val="911"/>
    <w:uiPriority w:val="0"/>
    <w:qFormat/>
    <w:rPr>
      <w:rFonts w:ascii="宋体" w:cs="Times New Roman"/>
      <w:szCs w:val="20"/>
    </w:rPr>
  </w:style>
  <w:style w:type="paragraph" w:styleId="931">
    <w:name w:val="Date"/>
    <w:basedOn w:val="911"/>
    <w:next w:val="911"/>
    <w:uiPriority w:val="0"/>
    <w:qFormat/>
    <w:pPr>
      <w:ind w:left="2500"/>
    </w:pPr>
  </w:style>
  <w:style w:type="paragraph" w:styleId="932">
    <w:name w:val="Balloon Text"/>
    <w:basedOn w:val="911"/>
    <w:uiPriority w:val="0"/>
    <w:qFormat/>
    <w:rPr>
      <w:sz w:val="18"/>
      <w:szCs w:val="18"/>
    </w:rPr>
  </w:style>
  <w:style w:type="paragraph" w:styleId="933">
    <w:name w:val="Footer"/>
    <w:basedOn w:val="911"/>
    <w:uiPriority w:val="0"/>
    <w:qFormat/>
    <w:pPr>
      <w:jc w:val="left"/>
      <w:tabs>
        <w:tab w:val="center" w:pos="4153" w:leader="none"/>
        <w:tab w:val="right" w:pos="8306" w:leader="none"/>
      </w:tabs>
    </w:pPr>
    <w:rPr>
      <w:sz w:val="18"/>
      <w:szCs w:val="18"/>
    </w:rPr>
  </w:style>
  <w:style w:type="paragraph" w:styleId="934">
    <w:name w:val="Header"/>
    <w:basedOn w:val="911"/>
    <w:uiPriority w:val="0"/>
    <w:qFormat/>
    <w:pPr>
      <w:jc w:val="center"/>
      <w:tabs>
        <w:tab w:val="center" w:pos="4153" w:leader="none"/>
        <w:tab w:val="right" w:pos="8306" w:leader="none"/>
      </w:tabs>
      <w:pBdr>
        <w:bottom w:val="single" w:color="auto" w:sz="6" w:space="1"/>
      </w:pBdr>
    </w:pPr>
    <w:rPr>
      <w:sz w:val="18"/>
      <w:szCs w:val="18"/>
    </w:rPr>
  </w:style>
  <w:style w:type="paragraph" w:styleId="935">
    <w:name w:val="toc 1"/>
    <w:basedOn w:val="911"/>
    <w:next w:val="911"/>
    <w:uiPriority w:val="0"/>
    <w:qFormat/>
    <w:pPr>
      <w:jc w:val="left"/>
      <w:spacing w:line="360" w:lineRule="auto"/>
      <w:widowControl/>
      <w:tabs>
        <w:tab w:val="right" w:pos="8777" w:leader="dot"/>
      </w:tabs>
    </w:pPr>
    <w:rPr>
      <w:rFonts w:ascii="Times New Roman" w:hAnsi="Times New Roman" w:eastAsia="黑体" w:cs="Times New Roman"/>
      <w:sz w:val="24"/>
    </w:rPr>
  </w:style>
  <w:style w:type="paragraph" w:styleId="936">
    <w:name w:val="footnote text"/>
    <w:next w:val="919"/>
    <w:uiPriority w:val="0"/>
    <w:qFormat/>
    <w:pPr>
      <w:widowControl w:val="off"/>
    </w:pPr>
    <w:rPr>
      <w:rFonts w:ascii="Calibri" w:hAnsi="Calibri" w:eastAsia="宋体" w:cs="Times New Roman"/>
      <w:sz w:val="18"/>
      <w:szCs w:val="24"/>
      <w:lang w:val="en-US" w:eastAsia="zh-CN" w:bidi="ar-SA"/>
    </w:rPr>
  </w:style>
  <w:style w:type="paragraph" w:styleId="937">
    <w:name w:val="index 9"/>
    <w:basedOn w:val="911"/>
    <w:next w:val="911"/>
    <w:uiPriority w:val="0"/>
    <w:qFormat/>
    <w:pPr>
      <w:ind w:left="1600"/>
      <w:widowControl/>
    </w:pPr>
    <w:rPr>
      <w:rFonts w:ascii="Times New Roman" w:hAnsi="Times New Roman" w:cs="Times New Roman"/>
      <w:szCs w:val="21"/>
    </w:rPr>
  </w:style>
  <w:style w:type="paragraph" w:styleId="938">
    <w:name w:val="toc 2"/>
    <w:basedOn w:val="911"/>
    <w:next w:val="911"/>
    <w:uiPriority w:val="0"/>
    <w:qFormat/>
    <w:pPr>
      <w:ind w:left="221"/>
      <w:jc w:val="left"/>
      <w:spacing w:line="360" w:lineRule="auto"/>
      <w:widowControl/>
    </w:pPr>
    <w:rPr>
      <w:rFonts w:ascii="Times New Roman" w:hAnsi="Times New Roman" w:cs="Times New Roman"/>
      <w:sz w:val="22"/>
    </w:rPr>
  </w:style>
  <w:style w:type="paragraph" w:styleId="939">
    <w:name w:val="Normal (Web)"/>
    <w:basedOn w:val="911"/>
    <w:uiPriority w:val="0"/>
    <w:qFormat/>
    <w:pPr>
      <w:jc w:val="left"/>
      <w:spacing w:before="100" w:beforeAutospacing="1" w:after="100" w:afterAutospacing="1"/>
      <w:widowControl/>
    </w:pPr>
    <w:rPr>
      <w:rFonts w:ascii="宋体" w:cs="宋体"/>
      <w:sz w:val="24"/>
      <w:szCs w:val="24"/>
    </w:rPr>
  </w:style>
  <w:style w:type="paragraph" w:styleId="940">
    <w:name w:val="annotation subject"/>
    <w:basedOn w:val="920"/>
    <w:next w:val="920"/>
    <w:uiPriority w:val="0"/>
    <w:qFormat/>
    <w:rPr>
      <w:rFonts w:ascii="Calibri" w:hAnsi="Calibri" w:cs="Arial"/>
      <w:b/>
      <w:bCs/>
      <w:szCs w:val="22"/>
    </w:rPr>
  </w:style>
  <w:style w:type="paragraph" w:styleId="941">
    <w:name w:val="Body Text First Indent"/>
    <w:basedOn w:val="922"/>
    <w:uiPriority w:val="0"/>
    <w:qFormat/>
    <w:pPr>
      <w:ind w:firstLine="100"/>
    </w:pPr>
    <w:rPr>
      <w:rFonts w:cs="Times New Roman"/>
      <w:szCs w:val="24"/>
    </w:rPr>
  </w:style>
  <w:style w:type="paragraph" w:styleId="942">
    <w:name w:val="Body Text First Indent 2"/>
    <w:basedOn w:val="925"/>
    <w:next w:val="911"/>
    <w:uiPriority w:val="0"/>
    <w:qFormat/>
    <w:pPr>
      <w:spacing w:line="480" w:lineRule="auto"/>
    </w:pPr>
    <w:rPr>
      <w:sz w:val="24"/>
    </w:rPr>
  </w:style>
  <w:style w:type="table" w:styleId="943">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Strong"/>
    <w:uiPriority w:val="0"/>
    <w:qFormat/>
    <w:rPr>
      <w:b/>
      <w:bCs/>
    </w:rPr>
  </w:style>
  <w:style w:type="character" w:styleId="945">
    <w:name w:val="Hyperlink"/>
    <w:basedOn w:val="916"/>
    <w:uiPriority w:val="0"/>
    <w:qFormat/>
    <w:rPr>
      <w:color w:val="0563c1"/>
      <w:u w:val="single"/>
    </w:rPr>
  </w:style>
  <w:style w:type="character" w:styleId="946">
    <w:name w:val="annotation reference"/>
    <w:uiPriority w:val="0"/>
    <w:qFormat/>
    <w:rPr>
      <w:sz w:val="21"/>
      <w:szCs w:val="21"/>
    </w:rPr>
  </w:style>
  <w:style w:type="paragraph" w:styleId="947" w:customStyle="1">
    <w:name w:val="TOC 标题1"/>
    <w:basedOn w:val="912"/>
    <w:next w:val="911"/>
    <w:uiPriority w:val="0"/>
    <w:qFormat/>
    <w:pPr>
      <w:jc w:val="left"/>
      <w:spacing w:before="240" w:after="0" w:line="259" w:lineRule="auto"/>
      <w:widowControl/>
      <w:outlineLvl w:val="9"/>
    </w:pPr>
    <w:rPr>
      <w:rFonts w:ascii="Calibri Light" w:hAnsi="Calibri Light" w:cs="Times New Roman"/>
      <w:b w:val="0"/>
      <w:bCs w:val="0"/>
      <w:color w:val="2e75b6"/>
      <w:sz w:val="32"/>
      <w:szCs w:val="32"/>
    </w:rPr>
  </w:style>
  <w:style w:type="paragraph" w:styleId="948">
    <w:name w:val="List Paragraph"/>
    <w:basedOn w:val="911"/>
    <w:uiPriority w:val="0"/>
    <w:qFormat/>
    <w:pPr>
      <w:ind w:firstLine="200"/>
      <w:jc w:val="left"/>
      <w:spacing w:before="60" w:after="60"/>
      <w:widowControl/>
    </w:pPr>
    <w:rPr>
      <w:rFonts w:ascii="宋体" w:hAnsi="宋体" w:eastAsia="Times New Roman" w:cs="宋体"/>
      <w:color w:val="000000"/>
      <w:sz w:val="20"/>
      <w:szCs w:val="20"/>
    </w:rPr>
  </w:style>
  <w:style w:type="paragraph" w:styleId="949" w:customStyle="1">
    <w:name w:val="蓝色显示"/>
    <w:basedOn w:val="911"/>
    <w:uiPriority w:val="0"/>
    <w:qFormat/>
    <w:pPr>
      <w:spacing w:before="340" w:after="330" w:line="400" w:lineRule="exact"/>
    </w:pPr>
    <w:rPr>
      <w:rFonts w:ascii="Times New Roman" w:hAnsi="Times New Roman" w:cs="Times New Roman"/>
      <w:b/>
      <w:color w:val="0070c0"/>
      <w:szCs w:val="24"/>
    </w:rPr>
  </w:style>
  <w:style w:type="paragraph" w:styleId="950" w:customStyle="1">
    <w:name w:val="正文00"/>
    <w:basedOn w:val="911"/>
    <w:uiPriority w:val="0"/>
    <w:qFormat/>
    <w:pPr>
      <w:ind w:firstLine="200"/>
      <w:spacing w:line="360" w:lineRule="auto"/>
    </w:pPr>
    <w:rPr>
      <w:rFonts w:ascii="Times New Roman" w:hAnsi="Times New Roman" w:cs="Times New Roman"/>
      <w:sz w:val="24"/>
      <w:szCs w:val="21"/>
    </w:rPr>
  </w:style>
  <w:style w:type="paragraph" w:styleId="951" w:customStyle="1">
    <w:name w:val="普通正文"/>
    <w:basedOn w:val="911"/>
    <w:uiPriority w:val="0"/>
    <w:qFormat/>
    <w:pPr>
      <w:ind w:firstLine="480"/>
      <w:jc w:val="left"/>
      <w:spacing w:before="120" w:after="120" w:line="360" w:lineRule="auto"/>
    </w:pPr>
    <w:rPr>
      <w:rFonts w:ascii="Arial" w:hAnsi="Arial" w:cs="Times New Roman"/>
      <w:sz w:val="24"/>
      <w:szCs w:val="24"/>
    </w:rPr>
  </w:style>
  <w:style w:type="paragraph" w:styleId="952" w:customStyle="1">
    <w:name w:val="Default"/>
    <w:uiPriority w:val="0"/>
    <w:qFormat/>
    <w:rPr>
      <w:rFonts w:ascii="宋体" w:hAnsi="Times New Roman" w:eastAsia="宋体" w:cs="宋体"/>
      <w:color w:val="000000"/>
      <w:sz w:val="24"/>
      <w:szCs w:val="24"/>
      <w:lang w:val="en-US" w:eastAsia="zh-CN" w:bidi="ar-SA"/>
    </w:rPr>
  </w:style>
  <w:style w:type="paragraph" w:styleId="953" w:customStyle="1">
    <w:name w:val="Table Paragraph"/>
    <w:basedOn w:val="911"/>
    <w:uiPriority w:val="0"/>
    <w:qFormat/>
    <w:pPr>
      <w:jc w:val="left"/>
    </w:pPr>
    <w:rPr>
      <w:rFonts w:ascii="Times New Roman" w:hAnsi="Times New Roman" w:cs="Times New Roman"/>
      <w:sz w:val="24"/>
      <w:szCs w:val="24"/>
    </w:rPr>
  </w:style>
  <w:style w:type="paragraph" w:styleId="954" w:customStyle="1">
    <w:name w:val="*正文"/>
    <w:basedOn w:val="911"/>
    <w:uiPriority w:val="0"/>
    <w:qFormat/>
    <w:pPr>
      <w:ind w:firstLine="200"/>
      <w:spacing w:line="340" w:lineRule="exact"/>
    </w:pPr>
    <w:rPr>
      <w:sz w:val="24"/>
      <w:szCs w:val="24"/>
    </w:rPr>
  </w:style>
  <w:style w:type="paragraph" w:styleId="955" w:customStyle="1">
    <w:name w:val="招标文件_标题3"/>
    <w:basedOn w:val="948"/>
    <w:next w:val="911"/>
    <w:uiPriority w:val="0"/>
    <w:qFormat/>
    <w:pPr>
      <w:ind w:firstLine="0"/>
      <w:jc w:val="both"/>
      <w:spacing w:before="0" w:after="0"/>
      <w:widowControl w:val="off"/>
      <w:outlineLvl w:val="2"/>
    </w:pPr>
    <w:rPr>
      <w:rFonts w:ascii="Calibri" w:hAnsi="Calibri" w:eastAsia="宋体" w:cs="Times New Roman"/>
      <w:b/>
      <w:color w:val="auto"/>
      <w:sz w:val="28"/>
      <w:szCs w:val="30"/>
      <w:lang w:val="zh-CN" w:bidi="en-US"/>
    </w:rPr>
  </w:style>
  <w:style w:type="character" w:styleId="956" w:customStyle="1">
    <w:name w:val="sh141"/>
    <w:uiPriority w:val="0"/>
    <w:qFormat/>
    <w:rPr>
      <w:color w:val="2b2b2b"/>
      <w:sz w:val="21"/>
      <w:szCs w:val="21"/>
    </w:rPr>
  </w:style>
  <w:style w:type="paragraph" w:styleId="957" w:customStyle="1">
    <w:name w:val="标准文本"/>
    <w:basedOn w:val="911"/>
    <w:uiPriority w:val="0"/>
    <w:qFormat/>
    <w:pPr>
      <w:ind w:firstLine="200"/>
      <w:spacing w:line="360" w:lineRule="auto"/>
    </w:pPr>
    <w:rPr>
      <w:rFonts w:ascii="Times New Roman" w:hAnsi="Times New Roman" w:cs="宋体"/>
      <w:sz w:val="24"/>
      <w:szCs w:val="24"/>
    </w:rPr>
  </w:style>
  <w:style w:type="character" w:styleId="958" w:customStyle="1">
    <w:name w:val="NormalCharacter"/>
    <w:basedOn w:val="916"/>
    <w:uiPriority w:val="0"/>
    <w:qFormat/>
  </w:style>
  <w:style w:type="character" w:styleId="959" w:customStyle="1">
    <w:name w:val="列表段落 字符"/>
    <w:basedOn w:val="916"/>
    <w:uiPriority w:val="0"/>
    <w:qFormat/>
    <w:rPr>
      <w:rFonts w:ascii="Times New Roman" w:hAnsi="Times New Roman" w:eastAsia="宋体" w:cs="Times New Roman"/>
      <w:szCs w:val="21"/>
    </w:rPr>
  </w:style>
  <w:style w:type="character" w:styleId="960" w:customStyle="1">
    <w:name w:val="正文文本首行缩进 2 字符"/>
    <w:uiPriority w:val="0"/>
    <w:qFormat/>
    <w:rPr>
      <w:rFonts w:ascii="Calibri" w:hAnsi="Calibri" w:eastAsia="宋体" w:cs="Times New Roman"/>
      <w:szCs w:val="20"/>
    </w:rPr>
  </w:style>
  <w:style w:type="paragraph" w:styleId="961" w:customStyle="1">
    <w:name w:val="正文1"/>
    <w:basedOn w:val="911"/>
    <w:uiPriority w:val="0"/>
    <w:qFormat/>
    <w:pPr>
      <w:ind w:firstLine="200"/>
      <w:jc w:val="left"/>
      <w:spacing w:before="120" w:after="120" w:line="180" w:lineRule="auto"/>
      <w:widowControl/>
    </w:pPr>
    <w:rPr>
      <w:rFonts w:cs="Times New Roman"/>
      <w:szCs w:val="21"/>
    </w:rPr>
  </w:style>
  <w:style w:type="character" w:styleId="962" w:customStyle="1">
    <w:name w:val="font31"/>
    <w:basedOn w:val="916"/>
    <w:uiPriority w:val="0"/>
    <w:qFormat/>
    <w:rPr>
      <w:rFonts w:ascii="仿宋" w:eastAsia="仿宋"/>
      <w:color w:val="000000"/>
      <w:sz w:val="24"/>
      <w:szCs w:val="24"/>
      <w:u w:val="none"/>
    </w:rPr>
  </w:style>
  <w:style w:type="paragraph" w:styleId="963" w:customStyle="1">
    <w:name w:val="_Style 25"/>
    <w:basedOn w:val="911"/>
    <w:next w:val="948"/>
    <w:uiPriority w:val="0"/>
    <w:qFormat/>
    <w:pPr>
      <w:ind w:firstLine="200"/>
      <w:spacing w:line="360" w:lineRule="auto"/>
    </w:pPr>
    <w:rPr>
      <w:sz w:val="24"/>
      <w:szCs w:val="24"/>
    </w:rPr>
  </w:style>
  <w:style w:type="paragraph" w:styleId="964" w:customStyle="1">
    <w:name w:val="章标题"/>
    <w:next w:val="91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65" w:customStyle="1">
    <w:name w:val="纯文本1"/>
    <w:uiPriority w:val="0"/>
    <w:qFormat/>
    <w:pPr>
      <w:jc w:val="both"/>
      <w:widowControl w:val="off"/>
    </w:pPr>
    <w:rPr>
      <w:rFonts w:ascii="宋体" w:hAnsi="Courier New" w:eastAsia="宋体" w:cs="Courier New"/>
      <w:sz w:val="21"/>
      <w:szCs w:val="21"/>
      <w:lang w:val="en-US" w:eastAsia="zh-CN" w:bidi="ar-SA"/>
    </w:rPr>
  </w:style>
  <w:style w:type="paragraph" w:styleId="966" w:customStyle="1">
    <w:name w:val="B2"/>
    <w:uiPriority w:val="0"/>
    <w:qFormat/>
    <w:pPr>
      <w:jc w:val="both"/>
      <w:keepLines/>
      <w:keepNext/>
      <w:spacing w:line="360" w:lineRule="auto"/>
      <w:widowControl w:val="off"/>
      <w:outlineLvl w:val="2"/>
    </w:pPr>
    <w:rPr>
      <w:rFonts w:ascii="宋体" w:hAnsi="宋体" w:eastAsia="宋体" w:cs="Arial"/>
      <w:b/>
      <w:sz w:val="21"/>
      <w:lang w:val="en-US" w:eastAsia="zh-CN" w:bidi="ar-SA"/>
    </w:rPr>
  </w:style>
  <w:style w:type="paragraph" w:styleId="967" w:customStyle="1">
    <w:name w:val="标题 31"/>
    <w:next w:val="911"/>
    <w:uiPriority w:val="0"/>
    <w:qFormat/>
    <w:pPr>
      <w:jc w:val="both"/>
      <w:keepLines/>
      <w:keepNext/>
      <w:spacing w:before="260" w:after="260" w:line="413" w:lineRule="auto"/>
      <w:widowControl w:val="off"/>
      <w:outlineLvl w:val="2"/>
    </w:pPr>
    <w:rPr>
      <w:rFonts w:ascii="Times New Roman" w:hAnsi="Times New Roman" w:eastAsia="宋体" w:cs="Times New Roman"/>
      <w:b/>
      <w:sz w:val="32"/>
      <w:lang w:val="en-US" w:eastAsia="zh-CN" w:bidi="ar-SA"/>
    </w:rPr>
  </w:style>
  <w:style w:type="paragraph" w:styleId="968" w:customStyle="1">
    <w:name w:val="普通(网站)1"/>
    <w:uiPriority w:val="99"/>
    <w:qFormat/>
    <w:pPr>
      <w:jc w:val="both"/>
      <w:spacing w:before="100" w:beforeAutospacing="1" w:after="100" w:afterAutospacing="1"/>
    </w:pPr>
    <w:rPr>
      <w:rFonts w:hint="eastAsia" w:ascii="宋体" w:hAnsi="宋体" w:eastAsia="宋体" w:cs="Times New Roman"/>
      <w:sz w:val="24"/>
      <w:lang w:val="en-US" w:eastAsia="zh-CN" w:bidi="ar-SA"/>
    </w:rPr>
  </w:style>
  <w:style w:type="character" w:styleId="969" w:customStyle="1">
    <w:name w:val="强调1"/>
    <w:uiPriority w:val="0"/>
    <w:qFormat/>
    <w:rPr>
      <w:rFonts w:ascii="Calibri" w:hAnsi="Calibri" w:eastAsia="宋体" w:cs="Arial"/>
      <w:sz w:val="21"/>
      <w:szCs w:val="22"/>
      <w:lang w:val="en-US" w:eastAsia="zh-CN" w:bidi="ar-SA"/>
    </w:rPr>
  </w:style>
  <w:style w:type="paragraph" w:styleId="970" w:customStyle="1">
    <w:name w:val="正文文本11"/>
    <w:next w:val="971"/>
    <w:uiPriority w:val="99"/>
    <w:qFormat/>
    <w:pPr>
      <w:jc w:val="both"/>
      <w:spacing w:line="500" w:lineRule="exact"/>
      <w:widowControl w:val="off"/>
      <w:tabs>
        <w:tab w:val="left" w:pos="2020" w:leader="none"/>
        <w:tab w:val="center" w:pos="4535" w:leader="none"/>
      </w:tabs>
      <w:outlineLvl w:val="0"/>
    </w:pPr>
    <w:rPr>
      <w:rFonts w:ascii="华文彩云" w:hAnsi="宋体" w:eastAsia="华文彩云" w:cs="Times New Roman"/>
      <w:bCs/>
      <w:color w:val="000000"/>
      <w:sz w:val="28"/>
      <w:szCs w:val="24"/>
      <w:lang w:val="en-US" w:eastAsia="zh-CN" w:bidi="ar-SA"/>
    </w:rPr>
  </w:style>
  <w:style w:type="paragraph" w:styleId="971" w:customStyle="1">
    <w:name w:val="目录 21"/>
    <w:next w:val="911"/>
    <w:uiPriority w:val="39"/>
    <w:unhideWhenUsed/>
    <w:qFormat/>
    <w:pPr>
      <w:ind w:left="420"/>
      <w:jc w:val="both"/>
      <w:widowControl w:val="off"/>
    </w:pPr>
    <w:rPr>
      <w:rFonts w:ascii="Calibri" w:hAnsi="Calibri" w:eastAsia="宋体" w:cs="Arial"/>
      <w:sz w:val="21"/>
      <w:szCs w:val="21"/>
      <w:lang w:val="en-US" w:eastAsia="zh-CN" w:bidi="ar-SA"/>
    </w:rPr>
  </w:style>
  <w:style w:type="paragraph" w:styleId="972" w:customStyle="1">
    <w:name w:val="样式 正文缩进 + 首行缩进:  2 字符"/>
    <w:uiPriority w:val="0"/>
    <w:qFormat/>
    <w:pPr>
      <w:ind w:firstLine="200"/>
      <w:jc w:val="both"/>
      <w:spacing w:line="360" w:lineRule="auto"/>
      <w:widowControl w:val="off"/>
    </w:pPr>
    <w:rPr>
      <w:rFonts w:ascii="Times New Roman" w:hAnsi="Times New Roman" w:eastAsia="宋体" w:cs="宋体"/>
      <w:sz w:val="24"/>
      <w:lang w:val="en-US" w:eastAsia="zh-CN" w:bidi="ar-SA"/>
    </w:rPr>
  </w:style>
  <w:style w:type="paragraph" w:styleId="973" w:customStyle="1">
    <w:name w:val="修订1"/>
    <w:hidden/>
    <w:uiPriority w:val="99"/>
    <w:unhideWhenUsed/>
    <w:qFormat/>
    <w:rPr>
      <w:rFonts w:ascii="Calibri" w:hAnsi="Calibri" w:eastAsia="宋体" w:cs="Arial"/>
      <w:sz w:val="21"/>
      <w:szCs w:val="22"/>
      <w:lang w:val="en-US" w:eastAsia="zh-CN" w:bidi="ar-SA"/>
    </w:rPr>
  </w:style>
  <w:style w:type="paragraph" w:styleId="974" w:customStyle="1">
    <w:name w:val="页眉1"/>
    <w:basedOn w:val="911"/>
    <w:uiPriority w:val="0"/>
    <w:unhideWhenUsed/>
    <w:qFormat/>
    <w:pPr>
      <w:jc w:val="center"/>
      <w:tabs>
        <w:tab w:val="center" w:pos="4153" w:leader="none"/>
        <w:tab w:val="right" w:pos="8306" w:leader="none"/>
      </w:tabs>
      <w:pBdr>
        <w:bottom w:val="single" w:color="000000" w:sz="6" w:space="1"/>
      </w:pBdr>
    </w:pPr>
    <w:rPr>
      <w:sz w:val="18"/>
      <w:szCs w:val="18"/>
      <w:lang w:eastAsia="en-US"/>
    </w:rPr>
  </w:style>
  <w:style w:type="paragraph" w:styleId="975" w:customStyle="1">
    <w:name w:val="页脚1"/>
    <w:basedOn w:val="911"/>
    <w:uiPriority w:val="99"/>
    <w:unhideWhenUsed/>
    <w:qFormat/>
    <w:pPr>
      <w:jc w:val="left"/>
      <w:tabs>
        <w:tab w:val="center" w:pos="4153" w:leader="none"/>
        <w:tab w:val="right" w:pos="8306" w:leader="none"/>
      </w:tabs>
    </w:pPr>
    <w:rPr>
      <w:sz w:val="18"/>
      <w:szCs w:val="18"/>
      <w:lang w:eastAsia="en-US"/>
    </w:rPr>
  </w:style>
  <w:style w:type="character" w:styleId="976" w:customStyle="1">
    <w:name w:val="页码1"/>
    <w:uiPriority w:val="0"/>
    <w:unhideWhenUsed/>
    <w:qFormat/>
    <w:rPr>
      <w:rFonts w:hint="default"/>
      <w:sz w:val="24"/>
      <w:szCs w:val="24"/>
    </w:rPr>
  </w:style>
  <w:style w:type="paragraph" w:styleId="977" w:customStyle="1">
    <w:name w:val="修订2"/>
    <w:hidden/>
    <w:uiPriority w:val="99"/>
    <w:unhideWhenUsed/>
    <w:qFormat/>
    <w:rPr>
      <w:rFonts w:ascii="Calibri" w:hAnsi="Calibri" w:eastAsia="宋体" w:cs="Arial"/>
      <w:sz w:val="21"/>
      <w:szCs w:val="22"/>
      <w:lang w:val="en-US" w:eastAsia="zh-CN" w:bidi="ar-SA"/>
    </w:rPr>
  </w:style>
  <w:style w:type="paragraph" w:styleId="978" w:customStyle="1">
    <w:name w:val="Revision"/>
    <w:hidden/>
    <w:uiPriority w:val="99"/>
    <w:unhideWhenUsed/>
    <w:rPr>
      <w:rFonts w:ascii="Calibri" w:hAnsi="Calibri" w:eastAsia="宋体" w:cs="Arial"/>
      <w:sz w:val="21"/>
      <w:szCs w:val="22"/>
      <w:lang w:val="en-US" w:eastAsia="zh-CN" w:bidi="ar-SA"/>
    </w:rPr>
  </w:style>
  <w:style w:type="numbering" w:styleId="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朱晓琦</cp:lastModifiedBy>
  <cp:revision>34</cp:revision>
  <dcterms:created xsi:type="dcterms:W3CDTF">2026-04-01T12:15:00Z</dcterms:created>
  <dcterms:modified xsi:type="dcterms:W3CDTF">2026-07-17T09:34:17Z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FBFEDBDC22134755B554393FFCCC448C_13</vt:lpwstr>
  </property>
  <property fmtid="{D5CDD505-2E9C-101B-9397-08002B2CF9AE}" pid="4" name="KSOTemplateDocerSaveRecord">
    <vt:lpwstr>eyJoZGlkIjoiZGZiZTQ5OTQ2ZDdkMDQ5YjllZGNjODE2Yzg2ZWZmOTkiLCJ1c2VySWQiOiI0NDY2NDAwIn0=</vt:lpwstr>
  </property>
</Properties>
</file>